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85F3" w14:textId="72C5A5B0" w:rsidR="00C12D1E" w:rsidRPr="00B7185D" w:rsidRDefault="00C12D1E" w:rsidP="00C12D1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7185D">
        <w:rPr>
          <w:rFonts w:ascii="Times New Roman" w:hAnsi="Times New Roman"/>
          <w:sz w:val="24"/>
          <w:szCs w:val="24"/>
          <w:lang w:val="ru-RU"/>
        </w:rPr>
        <w:t>КЫРГЫЗСКАЯ РЕСПУБЛИКА</w:t>
      </w:r>
    </w:p>
    <w:p w14:paraId="7F46951D" w14:textId="77777777" w:rsidR="00C12D1E" w:rsidRPr="0022208C" w:rsidRDefault="00C12D1E" w:rsidP="00C12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208C">
        <w:rPr>
          <w:rFonts w:ascii="Times New Roman" w:hAnsi="Times New Roman"/>
          <w:b/>
          <w:sz w:val="24"/>
          <w:szCs w:val="24"/>
          <w:lang w:val="ru-RU"/>
        </w:rPr>
        <w:t>ПРОЕКТ «</w:t>
      </w:r>
      <w:r w:rsidRPr="0022208C">
        <w:rPr>
          <w:rFonts w:ascii="Times New Roman" w:hAnsi="Times New Roman"/>
          <w:b/>
          <w:caps/>
          <w:sz w:val="24"/>
          <w:szCs w:val="24"/>
          <w:lang w:val="ru-RU"/>
        </w:rPr>
        <w:t>устойчивое восстановление ландшафтов в Кыргызской Республике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» (ПРОГРАММА </w:t>
      </w:r>
      <w:r w:rsidRPr="00B7185D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</w:t>
      </w:r>
      <w:r w:rsidRPr="00B7185D">
        <w:rPr>
          <w:rFonts w:ascii="Times New Roman" w:hAnsi="Times New Roman"/>
          <w:b/>
          <w:sz w:val="24"/>
          <w:szCs w:val="24"/>
        </w:rPr>
        <w:t>SILAND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7185D">
        <w:rPr>
          <w:rFonts w:ascii="Times New Roman" w:hAnsi="Times New Roman"/>
          <w:b/>
          <w:sz w:val="24"/>
          <w:szCs w:val="24"/>
        </w:rPr>
        <w:t>CA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>+)</w:t>
      </w:r>
    </w:p>
    <w:p w14:paraId="51D37192" w14:textId="77777777" w:rsidR="00C12D1E" w:rsidRDefault="00C12D1E" w:rsidP="00C12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1481EB5" w14:textId="17F4703A" w:rsidR="00C12D1E" w:rsidRDefault="00C12D1E" w:rsidP="00C12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 New Roman"/>
          <w:b/>
          <w:sz w:val="24"/>
          <w:szCs w:val="24"/>
          <w:lang w:val="ru-RU"/>
        </w:rPr>
        <w:t>1.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12D1E">
        <w:rPr>
          <w:rFonts w:ascii="Times New Roman" w:hAnsi="Times New Roman"/>
          <w:b/>
          <w:sz w:val="24"/>
          <w:szCs w:val="24"/>
          <w:lang w:val="ru-RU"/>
        </w:rPr>
        <w:t>УКРЕПЛЕНИЕ УЧРЕЖДЕНИЙ И РЕГИОНАЛЬНОГО СОТРУДНИЧЕСТВА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7CE5739D" w14:textId="77777777" w:rsidR="00C12D1E" w:rsidRPr="0022208C" w:rsidRDefault="00C12D1E" w:rsidP="00C12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E3FF1F9" w14:textId="77777777" w:rsidR="00C12D1E" w:rsidRPr="003C6011" w:rsidRDefault="00C12D1E" w:rsidP="00C12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6011">
        <w:rPr>
          <w:rFonts w:ascii="Times New Roman" w:hAnsi="Times New Roman"/>
          <w:b/>
          <w:sz w:val="24"/>
          <w:szCs w:val="24"/>
          <w:lang w:val="ru-RU"/>
        </w:rPr>
        <w:t>ТЕХНИЧЕСКОЕ ЗАДАНИЕ</w:t>
      </w:r>
    </w:p>
    <w:p w14:paraId="60B7A6E9" w14:textId="23FAA9FC" w:rsidR="00C12D1E" w:rsidRDefault="00C12D1E" w:rsidP="00C12D1E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IT</w:t>
      </w:r>
      <w:r w:rsidRPr="00C12D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КОНСУЛЬТАНТА ПО У</w:t>
      </w:r>
      <w:r w:rsidRPr="00C12D1E">
        <w:rPr>
          <w:rFonts w:ascii="Times New Roman" w:hAnsi="Times New Roman"/>
          <w:b/>
          <w:sz w:val="24"/>
          <w:szCs w:val="24"/>
          <w:lang w:val="ru-RU"/>
        </w:rPr>
        <w:t>ПРАВЛЕНИ</w:t>
      </w:r>
      <w:r w:rsidR="00814B53">
        <w:rPr>
          <w:rFonts w:ascii="Times New Roman" w:hAnsi="Times New Roman"/>
          <w:b/>
          <w:sz w:val="24"/>
          <w:szCs w:val="24"/>
          <w:lang w:val="ru-RU"/>
        </w:rPr>
        <w:t>Ю</w:t>
      </w:r>
      <w:r w:rsidRPr="00C12D1E">
        <w:rPr>
          <w:rFonts w:ascii="Times New Roman" w:hAnsi="Times New Roman"/>
          <w:b/>
          <w:sz w:val="24"/>
          <w:szCs w:val="24"/>
          <w:lang w:val="ru-RU"/>
        </w:rPr>
        <w:t xml:space="preserve"> РИСКАМИ СТИХИЙНЫХ БЕДСТВИЙ С ПОМОЩЬЮ ИКТ В ДЕГРАДИРОВАННЫХ ЛАНДШАФТАХ </w:t>
      </w:r>
    </w:p>
    <w:p w14:paraId="628082BE" w14:textId="77777777" w:rsidR="00814B53" w:rsidRPr="00A23F7D" w:rsidRDefault="00814B53" w:rsidP="00EE7551">
      <w:pPr>
        <w:pStyle w:val="HTML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14:paraId="1B94AB45" w14:textId="4902B680" w:rsidR="00A23F7D" w:rsidRPr="00A23F7D" w:rsidRDefault="00A23F7D" w:rsidP="001C4C7E">
      <w:pPr>
        <w:pStyle w:val="2"/>
        <w:numPr>
          <w:ilvl w:val="0"/>
          <w:numId w:val="18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23F7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ОБЩАЯ ИНФОРМАЦИЯ</w:t>
      </w:r>
    </w:p>
    <w:p w14:paraId="317B3A2D" w14:textId="77777777" w:rsidR="00A23F7D" w:rsidRPr="00A23F7D" w:rsidRDefault="00A23F7D" w:rsidP="00A23F7D">
      <w:pPr>
        <w:spacing w:before="240" w:line="276" w:lineRule="auto"/>
        <w:jc w:val="both"/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</w:pP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Проект «Устойчивое восстановление ландшафтов в Кыргызской Республике» подготовлен под эгидой программы Всемирного банка 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</w:rPr>
        <w:t>RESILAND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</w:rPr>
        <w:t>CA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>+, целью которой является повышение устойчивости региональных ландшафтов в Центральной Азии. Программа была создана в 2019 году с целью предоставить странам Центральной Азии региональную основу для повышения устойчивости их ландшафтов посредством восстановления ландшафтов. Она финансирует аналитику и консультирование по восстановлению ландшафтов и поддерживает инвестиционные проекты в странах Центральной Азии</w:t>
      </w:r>
      <w:r w:rsidRPr="00A23F7D">
        <w:rPr>
          <w:rStyle w:val="af"/>
          <w:rFonts w:ascii="Times New Roman" w:hAnsi="Times New Roman"/>
          <w:noProof/>
          <w:color w:val="0D0D0D" w:themeColor="text1" w:themeTint="F2"/>
          <w:sz w:val="24"/>
          <w:szCs w:val="24"/>
        </w:rPr>
        <w:footnoteReference w:id="1"/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>, объединенные Региональной платформой обмена для диалога на высоком уровне по снижению риска стихийных бедствий и восстановлению ландшафтов. Региональный подход Программы способствует восстановлению региональных и трансграничных ландшафтов, учитывая подверженность границ деградации земель, климатическим катастрофам, стихийным бедствиям и бедности.</w:t>
      </w:r>
    </w:p>
    <w:p w14:paraId="5F73AE75" w14:textId="77777777" w:rsidR="00A23F7D" w:rsidRPr="00A23F7D" w:rsidRDefault="00A23F7D" w:rsidP="00A23F7D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Целями проекта являются: </w:t>
      </w:r>
      <w:r w:rsidRPr="00A23F7D">
        <w:rPr>
          <w:rFonts w:ascii="Times New Roman" w:hAnsi="Times New Roman"/>
          <w:sz w:val="24"/>
          <w:szCs w:val="24"/>
          <w:lang w:val="ru-RU"/>
        </w:rPr>
        <w:t>(i) увеличение площадей, находящихся под устойчивым управлением ландшафтом в отдельных местах Кыргызской Республики; и (</w:t>
      </w:r>
      <w:proofErr w:type="spellStart"/>
      <w:r w:rsidRPr="00A23F7D">
        <w:rPr>
          <w:rFonts w:ascii="Times New Roman" w:hAnsi="Times New Roman"/>
          <w:sz w:val="24"/>
          <w:szCs w:val="24"/>
          <w:lang w:val="ru-RU"/>
        </w:rPr>
        <w:t>ii</w:t>
      </w:r>
      <w:proofErr w:type="spellEnd"/>
      <w:r w:rsidRPr="00A23F7D">
        <w:rPr>
          <w:rFonts w:ascii="Times New Roman" w:hAnsi="Times New Roman"/>
          <w:sz w:val="24"/>
          <w:szCs w:val="24"/>
          <w:lang w:val="ru-RU"/>
        </w:rPr>
        <w:t>) содействовать сотрудничеству Кыргызской Республики с другими странами Центральной Азии по восстановлению трансграничных ландшафтов.</w:t>
      </w:r>
    </w:p>
    <w:p w14:paraId="73F89DBC" w14:textId="77777777" w:rsidR="00A23F7D" w:rsidRPr="00A23F7D" w:rsidRDefault="00A23F7D" w:rsidP="00A23F7D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3F7D">
        <w:rPr>
          <w:rFonts w:ascii="Times New Roman" w:eastAsiaTheme="minorHAnsi" w:hAnsi="Times New Roman"/>
          <w:sz w:val="24"/>
          <w:szCs w:val="24"/>
          <w:lang w:val="ru-RU"/>
        </w:rPr>
        <w:t xml:space="preserve">Финансирование проекта </w:t>
      </w:r>
      <w:r w:rsidRPr="00A23F7D">
        <w:rPr>
          <w:rFonts w:ascii="Times New Roman" w:eastAsiaTheme="minorHAnsi" w:hAnsi="Times New Roman"/>
          <w:sz w:val="24"/>
          <w:szCs w:val="24"/>
        </w:rPr>
        <w:t>KG</w:t>
      </w:r>
      <w:r w:rsidRPr="00A23F7D">
        <w:rPr>
          <w:rFonts w:ascii="Times New Roman" w:eastAsiaTheme="minorHAnsi" w:hAnsi="Times New Roman"/>
          <w:sz w:val="24"/>
          <w:szCs w:val="24"/>
          <w:lang w:val="ru-RU"/>
        </w:rPr>
        <w:t>-</w:t>
      </w:r>
      <w:r w:rsidRPr="00A23F7D">
        <w:rPr>
          <w:rFonts w:ascii="Times New Roman" w:eastAsiaTheme="minorHAnsi" w:hAnsi="Times New Roman"/>
          <w:sz w:val="24"/>
          <w:szCs w:val="24"/>
        </w:rPr>
        <w:t>RESILAND</w:t>
      </w:r>
      <w:r w:rsidRPr="00A23F7D">
        <w:rPr>
          <w:rFonts w:ascii="Times New Roman" w:eastAsiaTheme="minorHAnsi" w:hAnsi="Times New Roman"/>
          <w:sz w:val="24"/>
          <w:szCs w:val="24"/>
          <w:lang w:val="ru-RU"/>
        </w:rPr>
        <w:t xml:space="preserve"> составляет 52,4 млн долларов США. Инструментом кредитования является финансирование инвестиционных проектов (ФИП), срок реализации проекта – пять лет.</w:t>
      </w:r>
    </w:p>
    <w:p w14:paraId="23C83055" w14:textId="77777777" w:rsidR="00A23F7D" w:rsidRPr="00A23F7D" w:rsidRDefault="00A23F7D" w:rsidP="00A23F7D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Компоненты проекта: </w:t>
      </w:r>
      <w:r w:rsidRPr="00A23F7D">
        <w:rPr>
          <w:rFonts w:ascii="Times New Roman" w:hAnsi="Times New Roman"/>
          <w:sz w:val="24"/>
          <w:szCs w:val="24"/>
          <w:lang w:val="ru-RU"/>
        </w:rPr>
        <w:t>Проект состоит из следующих трех взаимосвязанных компонентов для достижения вышеупомянутых целей.</w:t>
      </w:r>
    </w:p>
    <w:p w14:paraId="51F2EA3F" w14:textId="77777777" w:rsidR="00A23F7D" w:rsidRPr="00A23F7D" w:rsidRDefault="00A23F7D" w:rsidP="00A23F7D">
      <w:pPr>
        <w:spacing w:before="240" w:line="276" w:lineRule="auto"/>
        <w:jc w:val="both"/>
        <w:rPr>
          <w:rStyle w:val="normaltextrun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Компонент 1: </w:t>
      </w:r>
      <w:r w:rsidRPr="00A23F7D">
        <w:rPr>
          <w:rStyle w:val="normaltextrun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Укрепление институтов и регионального сотрудничества.</w:t>
      </w:r>
    </w:p>
    <w:p w14:paraId="6F1143A8" w14:textId="77777777" w:rsidR="00A23F7D" w:rsidRPr="00A23F7D" w:rsidRDefault="00A23F7D" w:rsidP="00A23F7D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3F7D">
        <w:rPr>
          <w:rStyle w:val="normaltextrun"/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Pr="00A23F7D">
        <w:rPr>
          <w:rFonts w:ascii="Times New Roman" w:hAnsi="Times New Roman"/>
          <w:sz w:val="24"/>
          <w:szCs w:val="24"/>
          <w:lang w:val="ru-RU"/>
        </w:rPr>
        <w:t xml:space="preserve"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</w:t>
      </w:r>
      <w:r w:rsidRPr="00A23F7D">
        <w:rPr>
          <w:rFonts w:ascii="Times New Roman" w:hAnsi="Times New Roman"/>
          <w:sz w:val="24"/>
          <w:szCs w:val="24"/>
          <w:lang w:val="ru-RU"/>
        </w:rPr>
        <w:lastRenderedPageBreak/>
        <w:t xml:space="preserve">повышая устойчивость ландшафтов и их восстановление, а также мероприятия, которые улучшают региональную осведомленность, потенциал и сотрудничество в области трансграничной устойчивости </w:t>
      </w:r>
      <w:r w:rsidRPr="00A23F7D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ландшафтов</w:t>
      </w:r>
      <w:r w:rsidRPr="00A23F7D">
        <w:rPr>
          <w:rFonts w:ascii="Times New Roman" w:hAnsi="Times New Roman"/>
          <w:sz w:val="24"/>
          <w:szCs w:val="24"/>
          <w:lang w:val="ru-RU"/>
        </w:rPr>
        <w:t>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045D7CE5" w14:textId="77777777" w:rsidR="00A23F7D" w:rsidRPr="00A23F7D" w:rsidRDefault="00A23F7D" w:rsidP="00A23F7D">
      <w:pPr>
        <w:spacing w:before="240" w:line="276" w:lineRule="auto"/>
        <w:jc w:val="both"/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>Компонент 2: Повышение устойчивости ландшафтов и средств к существованию.</w:t>
      </w:r>
    </w:p>
    <w:p w14:paraId="58C86C10" w14:textId="77777777" w:rsidR="000130B2" w:rsidRDefault="00A23F7D" w:rsidP="000208BF">
      <w:pPr>
        <w:spacing w:before="240" w:line="276" w:lineRule="auto"/>
        <w:jc w:val="both"/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</w:pP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</w:t>
      </w:r>
    </w:p>
    <w:p w14:paraId="44875EDB" w14:textId="77777777" w:rsidR="000130B2" w:rsidRPr="002F44E2" w:rsidRDefault="000130B2" w:rsidP="000130B2">
      <w:pPr>
        <w:spacing w:before="240" w:line="276" w:lineRule="auto"/>
        <w:jc w:val="both"/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</w:pPr>
      <w:r w:rsidRPr="000130B2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>Компонент 3: Управление и координация проекта.</w:t>
      </w:r>
    </w:p>
    <w:p w14:paraId="184EDAFE" w14:textId="18F73AFE" w:rsidR="000130B2" w:rsidRPr="000130B2" w:rsidRDefault="000130B2" w:rsidP="000130B2">
      <w:pPr>
        <w:spacing w:before="240" w:line="276" w:lineRule="auto"/>
        <w:jc w:val="both"/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</w:pPr>
      <w:r w:rsidRPr="000130B2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проекта.</w:t>
      </w:r>
      <w:r w:rsidRPr="000130B2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0130B2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ОРП при МЧС будет отвечать за все функции в рамках компонента 3 проекта; и будет управлять и координировать проект с привлечением дополнительных нанятых технических специалистов по мере необходимости. ОРП будет выполнять функции управления проектом, такие как закупки, финансовое управление, управление экологическими и социальными рисками, мониторинг и оценка (МиО), отчетность, коммуникация и рассмотрение жалоб. </w:t>
      </w:r>
    </w:p>
    <w:p w14:paraId="74B66042" w14:textId="0ACCEACE" w:rsidR="00EE7551" w:rsidRPr="00A23F7D" w:rsidRDefault="00EE7551" w:rsidP="001C4C7E">
      <w:pPr>
        <w:pStyle w:val="HTML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ЦЕЛЬ ЗАДАНИЯ</w:t>
      </w:r>
    </w:p>
    <w:p w14:paraId="1397AB15" w14:textId="77777777" w:rsidR="00EE7551" w:rsidRPr="00A23F7D" w:rsidRDefault="00EE7551" w:rsidP="00EE75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6251E16" w14:textId="2233DE2A" w:rsidR="0039094D" w:rsidRPr="00330E29" w:rsidRDefault="00330E29" w:rsidP="0039094D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0E29">
        <w:rPr>
          <w:rFonts w:ascii="Times New Roman" w:hAnsi="Times New Roman"/>
          <w:sz w:val="24"/>
          <w:szCs w:val="24"/>
          <w:lang w:val="ru-RU"/>
        </w:rPr>
        <w:t xml:space="preserve">Основной целью задания Консультанта является предоставление ИТ-поддержки для реализации Компонента 1 проекта KG RESILAND. Как подробно описано в Приложении, компонент 1 предполагает создание 1) национальной системы мониторинга ледников и снежного покрова, 2) системы мониторинга селевых и паводковых процессов в КР, 3) подсистемы управления активами объектов </w:t>
      </w:r>
      <w:proofErr w:type="spellStart"/>
      <w:r w:rsidRPr="00330E29">
        <w:rPr>
          <w:rFonts w:ascii="Times New Roman" w:hAnsi="Times New Roman"/>
          <w:sz w:val="24"/>
          <w:szCs w:val="24"/>
          <w:lang w:val="ru-RU"/>
        </w:rPr>
        <w:t>Сельводзащиты</w:t>
      </w:r>
      <w:proofErr w:type="spellEnd"/>
      <w:r w:rsidRPr="00330E29">
        <w:rPr>
          <w:rFonts w:ascii="Times New Roman" w:hAnsi="Times New Roman"/>
          <w:sz w:val="24"/>
          <w:szCs w:val="24"/>
          <w:lang w:val="ru-RU"/>
        </w:rPr>
        <w:t xml:space="preserve">, а также картирования деградации земель </w:t>
      </w:r>
      <w:proofErr w:type="spellStart"/>
      <w:r w:rsidRPr="00330E29">
        <w:rPr>
          <w:rFonts w:ascii="Times New Roman" w:hAnsi="Times New Roman"/>
          <w:sz w:val="24"/>
          <w:szCs w:val="24"/>
          <w:lang w:val="ru-RU"/>
        </w:rPr>
        <w:t>Гипроземом</w:t>
      </w:r>
      <w:proofErr w:type="spellEnd"/>
      <w:r w:rsidRPr="00330E29">
        <w:rPr>
          <w:rFonts w:ascii="Times New Roman" w:hAnsi="Times New Roman"/>
          <w:sz w:val="24"/>
          <w:szCs w:val="24"/>
          <w:lang w:val="ru-RU"/>
        </w:rPr>
        <w:t>, при необходимости. Все разработанные системы и подсистемы будут интегрированы в Единую систему комплексного мониторинга и прогнозирования чрезвычайных ситуаций (ЕСКМП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E29">
        <w:rPr>
          <w:rFonts w:ascii="Times New Roman" w:hAnsi="Times New Roman"/>
          <w:sz w:val="24"/>
          <w:szCs w:val="24"/>
          <w:lang w:val="ru-RU"/>
        </w:rPr>
        <w:t>ЧС).</w:t>
      </w:r>
    </w:p>
    <w:p w14:paraId="2E916AA0" w14:textId="2727B730" w:rsidR="001F7AF7" w:rsidRDefault="00EE7551" w:rsidP="0039094D">
      <w:pPr>
        <w:pStyle w:val="HTML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9094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ОБЪЕМ УСЛУГ</w:t>
      </w:r>
    </w:p>
    <w:p w14:paraId="7EE7618A" w14:textId="77777777" w:rsidR="001460E7" w:rsidRPr="0039094D" w:rsidRDefault="001460E7" w:rsidP="001460E7">
      <w:pPr>
        <w:pStyle w:val="HTML"/>
        <w:ind w:left="1080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14:paraId="143AD668" w14:textId="373C80D8" w:rsidR="000208BF" w:rsidRPr="000852FA" w:rsidRDefault="00DF4512" w:rsidP="001460E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outlineLvl w:val="0"/>
        <w:rPr>
          <w:rFonts w:ascii="Times New Roman" w:eastAsia="Arial Unicode MS" w:hAnsi="Times New Roman"/>
          <w:color w:val="000000"/>
          <w:position w:val="-2"/>
          <w:sz w:val="24"/>
          <w:szCs w:val="24"/>
          <w:u w:color="000000"/>
          <w:bdr w:val="nil"/>
          <w:lang w:val="ru-RU" w:eastAsia="ru-RU"/>
        </w:rPr>
      </w:pPr>
      <w:r w:rsidRPr="000852FA">
        <w:rPr>
          <w:rFonts w:ascii="Times New Roman" w:eastAsia="Arial Unicode MS" w:hAnsi="Times New Roman"/>
          <w:color w:val="000000"/>
          <w:position w:val="-2"/>
          <w:sz w:val="24"/>
          <w:szCs w:val="24"/>
          <w:u w:color="000000"/>
          <w:bdr w:val="nil"/>
          <w:lang w:val="ru-RU" w:eastAsia="ru-RU"/>
        </w:rPr>
        <w:t>Консультант должен выполнить следующие виды работ</w:t>
      </w:r>
      <w:r w:rsidR="001460E7">
        <w:rPr>
          <w:rFonts w:ascii="Times New Roman" w:eastAsia="Arial Unicode MS" w:hAnsi="Times New Roman"/>
          <w:color w:val="000000"/>
          <w:position w:val="-2"/>
          <w:sz w:val="24"/>
          <w:szCs w:val="24"/>
          <w:u w:color="000000"/>
          <w:bdr w:val="nil"/>
          <w:lang w:val="ru-RU" w:eastAsia="ru-RU"/>
        </w:rPr>
        <w:t>:</w:t>
      </w:r>
    </w:p>
    <w:p w14:paraId="3040180B" w14:textId="77777777" w:rsidR="000208BF" w:rsidRPr="000852FA" w:rsidRDefault="000208BF" w:rsidP="000852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0"/>
        <w:rPr>
          <w:rFonts w:ascii="Times New Roman" w:eastAsia="Arial Unicode MS" w:hAnsi="Times New Roman"/>
          <w:color w:val="000000"/>
          <w:position w:val="-2"/>
          <w:sz w:val="24"/>
          <w:szCs w:val="24"/>
          <w:u w:color="000000"/>
          <w:bdr w:val="nil"/>
          <w:lang w:val="ru-RU" w:eastAsia="ru-RU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1460E7" w:rsidRPr="00330E29" w14:paraId="4D823C3C" w14:textId="77777777" w:rsidTr="001460E7">
        <w:trPr>
          <w:trHeight w:val="5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23AE" w14:textId="77777777" w:rsidR="001460E7" w:rsidRPr="000852FA" w:rsidRDefault="001460E7" w:rsidP="000852FA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</w:pP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Задача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0A134" w14:textId="77777777" w:rsidR="001460E7" w:rsidRPr="000852FA" w:rsidRDefault="001460E7" w:rsidP="000852FA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</w:rPr>
            </w:pP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Виды</w:t>
            </w:r>
            <w:proofErr w:type="spellEnd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работ</w:t>
            </w:r>
            <w:proofErr w:type="spellEnd"/>
          </w:p>
        </w:tc>
      </w:tr>
      <w:tr w:rsidR="001460E7" w:rsidRPr="000852FA" w14:paraId="21AA17A6" w14:textId="77777777" w:rsidTr="001460E7">
        <w:trPr>
          <w:trHeight w:val="4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DB027" w14:textId="762DA952" w:rsidR="001460E7" w:rsidRPr="000852FA" w:rsidRDefault="001460E7" w:rsidP="000852FA">
            <w:pPr>
              <w:pStyle w:val="a3"/>
              <w:numPr>
                <w:ilvl w:val="0"/>
                <w:numId w:val="21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8049" w14:textId="6F7AB6A2" w:rsidR="001460E7" w:rsidRPr="000852FA" w:rsidRDefault="001460E7" w:rsidP="000852FA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0019C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Базовый анализ и рекомендации. Проанализировать существующие системы ИКТ в рамках М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ЧС</w:t>
            </w:r>
            <w:r w:rsidRPr="000019C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, которые необходимо модернизировать в рамках проекта, и подготовить отчет, включающий свод выявленных проблем, рекомендации по улучшению или модернизации, а также проект ТЗ на создание или модернизацию системы для каждой из трех или четырех систем, подлежащих модернизации.</w:t>
            </w:r>
          </w:p>
        </w:tc>
      </w:tr>
      <w:tr w:rsidR="001460E7" w:rsidRPr="000852FA" w14:paraId="34D40524" w14:textId="77777777" w:rsidTr="001460E7">
        <w:trPr>
          <w:trHeight w:val="8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FA79" w14:textId="50C596DD" w:rsidR="001460E7" w:rsidRPr="000852FA" w:rsidRDefault="001460E7" w:rsidP="000852FA">
            <w:pPr>
              <w:pStyle w:val="a3"/>
              <w:numPr>
                <w:ilvl w:val="0"/>
                <w:numId w:val="21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AC27" w14:textId="38FA3DE7" w:rsidR="001460E7" w:rsidRPr="000852FA" w:rsidRDefault="001460E7" w:rsidP="000852FA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Оказание содействие Компоненту в лице ДМПЧС, Гидромет, ИВП, ТШВНЦ, </w:t>
            </w:r>
            <w:proofErr w:type="spellStart"/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Гипрозем</w:t>
            </w:r>
            <w:proofErr w:type="spellEnd"/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proofErr w:type="spellStart"/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Сельводзащита</w:t>
            </w:r>
            <w:proofErr w:type="spellEnd"/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в подготовке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проекта </w:t>
            </w:r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ТЗ, которы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й</w:t>
            </w:r>
            <w:r w:rsidRPr="000852F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будет включать в себя технические спецификации для закупок по внедрению национальной системы за ледниками и снежным покровом и системы за селевыми и паводковыми процессами в ЕСКМП ЧС</w:t>
            </w:r>
          </w:p>
        </w:tc>
      </w:tr>
      <w:tr w:rsidR="001460E7" w:rsidRPr="000852FA" w14:paraId="048DDBD2" w14:textId="77777777" w:rsidTr="001460E7">
        <w:trPr>
          <w:trHeight w:val="11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F58B" w14:textId="473981AA" w:rsidR="001460E7" w:rsidRPr="000852FA" w:rsidRDefault="001460E7" w:rsidP="000852FA">
            <w:pPr>
              <w:pStyle w:val="a3"/>
              <w:numPr>
                <w:ilvl w:val="0"/>
                <w:numId w:val="21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9A990" w14:textId="732B389C" w:rsidR="001460E7" w:rsidRPr="000852FA" w:rsidRDefault="001460E7" w:rsidP="000852FA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Участие в тендерных и отборочных комиссиях для консультаций и оценки технических и тендерных предложений, а также в переговорах по контракту с победител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ями</w:t>
            </w: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тендер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ов.</w:t>
            </w:r>
          </w:p>
        </w:tc>
      </w:tr>
      <w:tr w:rsidR="001460E7" w:rsidRPr="000852FA" w14:paraId="715B3BC0" w14:textId="77777777" w:rsidTr="001460E7">
        <w:trPr>
          <w:trHeight w:val="1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6B8AB" w14:textId="04302762" w:rsidR="001460E7" w:rsidRPr="000852FA" w:rsidRDefault="001460E7" w:rsidP="000852FA">
            <w:pPr>
              <w:pStyle w:val="a3"/>
              <w:numPr>
                <w:ilvl w:val="0"/>
                <w:numId w:val="21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467F" w14:textId="0B7E5CD7" w:rsidR="001460E7" w:rsidRPr="000852FA" w:rsidRDefault="001460E7" w:rsidP="000852FA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Поддержка заинтересованных сторон компонента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ДПМЧС КР,</w:t>
            </w: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Гидромета,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Института водных проблем, Тянь-Шанского научного центра, </w:t>
            </w:r>
            <w:proofErr w:type="spellStart"/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Г</w:t>
            </w: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ипрозема</w:t>
            </w:r>
            <w:proofErr w:type="spellEnd"/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proofErr w:type="spellStart"/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Сельводзащиты</w:t>
            </w:r>
            <w:proofErr w:type="spellEnd"/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в мониторинге выполнения контракта, ходе реализации и решении проблем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.</w:t>
            </w:r>
          </w:p>
        </w:tc>
      </w:tr>
      <w:tr w:rsidR="001460E7" w:rsidRPr="000852FA" w14:paraId="659F7B87" w14:textId="77777777" w:rsidTr="001460E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1661" w14:textId="46639F29" w:rsidR="001460E7" w:rsidRPr="000852FA" w:rsidRDefault="001460E7" w:rsidP="000852FA">
            <w:pPr>
              <w:pStyle w:val="a3"/>
              <w:numPr>
                <w:ilvl w:val="0"/>
                <w:numId w:val="21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7B28" w14:textId="6BE35F05" w:rsidR="001460E7" w:rsidRPr="000852FA" w:rsidRDefault="001460E7" w:rsidP="000852FA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190A8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Тесное сотрудничество с координатором Компонента I,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ДПМЧС КР,</w:t>
            </w: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Гидромет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ом</w:t>
            </w: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Институтом водных проблем, Тянь-Шанским научным центром</w:t>
            </w:r>
            <w:r w:rsidRPr="00190A8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proofErr w:type="spellStart"/>
            <w:r w:rsidRPr="00190A8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Гипроземом</w:t>
            </w:r>
            <w:proofErr w:type="spellEnd"/>
            <w:r w:rsidRPr="00190A8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proofErr w:type="spellStart"/>
            <w:r w:rsidRPr="00190A8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Сельводзащитой</w:t>
            </w:r>
            <w:proofErr w:type="spellEnd"/>
            <w:r w:rsidRPr="00190A8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и подрядчиками, поставщиками, разработчиками программного обеспечения и т. д. для всех соответствующих мероприятий, связанных с ИТ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.</w:t>
            </w:r>
          </w:p>
        </w:tc>
      </w:tr>
      <w:tr w:rsidR="001460E7" w:rsidRPr="000852FA" w14:paraId="7E9EEBCF" w14:textId="77777777" w:rsidTr="001460E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2E15" w14:textId="77777777" w:rsidR="001460E7" w:rsidRPr="000852FA" w:rsidRDefault="001460E7" w:rsidP="000852FA">
            <w:pPr>
              <w:pStyle w:val="a3"/>
              <w:numPr>
                <w:ilvl w:val="0"/>
                <w:numId w:val="21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9B9E" w14:textId="245AD1FB" w:rsidR="001460E7" w:rsidRPr="000852FA" w:rsidRDefault="001460E7" w:rsidP="000852FA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ED0EFB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Поддержка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ОРП при МЧС КР</w:t>
            </w:r>
            <w:r w:rsidRPr="00ED0EFB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в качестве IT-специалиста. Это включает закупку или ремонт продуктов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ИКТ</w:t>
            </w:r>
            <w:r w:rsidRPr="00ED0EFB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а также обслуживание систем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ИКТ</w:t>
            </w:r>
            <w:r w:rsidRPr="00ED0EFB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мере необходимости</w:t>
            </w:r>
          </w:p>
        </w:tc>
      </w:tr>
    </w:tbl>
    <w:p w14:paraId="066D0DD0" w14:textId="77777777" w:rsidR="00EE7551" w:rsidRPr="000852FA" w:rsidRDefault="00EE7551" w:rsidP="000852F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0B7A8F9" w14:textId="00F23D6C" w:rsidR="00EE7551" w:rsidRPr="000852FA" w:rsidRDefault="00EE7551" w:rsidP="000852FA">
      <w:pPr>
        <w:pStyle w:val="HTML"/>
        <w:numPr>
          <w:ilvl w:val="0"/>
          <w:numId w:val="18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F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ОТЧЕТНОСТЬ</w:t>
      </w:r>
      <w:r w:rsidR="00A2278B" w:rsidRPr="000852F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14:paraId="2DB9899F" w14:textId="47CC8AB7" w:rsidR="00DF4512" w:rsidRPr="000852FA" w:rsidRDefault="00C46943" w:rsidP="00C12C7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Консультант будет</w:t>
      </w:r>
      <w:r w:rsidR="00ED0EF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подотчетен</w:t>
      </w:r>
      <w:r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Координатор</w:t>
      </w:r>
      <w:r w:rsidR="00ED0EF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</w:t>
      </w:r>
      <w:r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Компонента №1 и </w:t>
      </w:r>
      <w:r w:rsidR="00B84349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заместител</w:t>
      </w:r>
      <w:r w:rsidR="00ED0EF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ю</w:t>
      </w:r>
      <w:r w:rsidR="00B84349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FC336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директора </w:t>
      </w:r>
      <w:r w:rsidR="00B84349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ОРП</w:t>
      </w:r>
      <w:r w:rsidR="00DF4512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FC336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– координатору проекта </w:t>
      </w:r>
      <w:r w:rsidR="00FC336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KG</w:t>
      </w:r>
      <w:r w:rsidR="00FC336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FC336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RESILAND</w:t>
      </w:r>
      <w:r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="00DF4512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</w:t>
      </w:r>
      <w:r w:rsidR="00DF4512" w:rsidRPr="000852FA">
        <w:rPr>
          <w:rFonts w:ascii="Times New Roman" w:hAnsi="Times New Roman"/>
          <w:sz w:val="24"/>
          <w:szCs w:val="24"/>
          <w:lang w:val="ru-RU"/>
        </w:rPr>
        <w:t xml:space="preserve">о итогам каждого этапа работ Консультант должен представлять отчет.  </w:t>
      </w:r>
    </w:p>
    <w:p w14:paraId="520479B6" w14:textId="65860A58" w:rsidR="00A878D9" w:rsidRPr="000852FA" w:rsidRDefault="00961B94" w:rsidP="000852FA">
      <w:pPr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Консультант </w:t>
      </w:r>
      <w:r w:rsidR="002B5D75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будет </w:t>
      </w:r>
      <w:r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предостав</w:t>
      </w:r>
      <w:r w:rsidR="002B5D75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лять </w:t>
      </w:r>
      <w:r w:rsidR="00B86377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ежемесячный отчет о выполненных работ</w:t>
      </w:r>
      <w:r w:rsidR="002B5D75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ах</w:t>
      </w:r>
      <w:r w:rsidR="00E1184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в ОРП при МЧС КР</w:t>
      </w:r>
      <w:r w:rsidR="002B5D75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Отчетность консультанта будет </w:t>
      </w:r>
      <w:r w:rsidR="00E1184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утверждаться </w:t>
      </w:r>
      <w:r w:rsidR="00B84349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заместителем </w:t>
      </w:r>
      <w:r w:rsidR="00A878D9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директора – координатору проекта KG RESILAND по согласованию с </w:t>
      </w:r>
      <w:r w:rsidR="00E1184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Координатором </w:t>
      </w:r>
      <w:r w:rsidR="00256C42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Компонента</w:t>
      </w:r>
      <w:r w:rsidR="00E11844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1</w:t>
      </w:r>
      <w:r w:rsidR="00A2278B" w:rsidRPr="000852F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0DD651BD" w14:textId="2991FEDD" w:rsidR="000852FA" w:rsidRDefault="00C46943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852FA">
        <w:rPr>
          <w:rFonts w:ascii="Times New Roman" w:hAnsi="Times New Roman"/>
          <w:sz w:val="24"/>
          <w:szCs w:val="24"/>
          <w:lang w:val="ru-RU"/>
        </w:rPr>
        <w:t xml:space="preserve">Отчеты должны быть представлены в электронном формате и на бумажных носителях совместно с табелем. В отчетах должно отражается полнота выполненных работ по каждому виду работ. </w:t>
      </w:r>
    </w:p>
    <w:p w14:paraId="72DBCE34" w14:textId="77777777" w:rsidR="00C12C79" w:rsidRDefault="00C12C79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8828C7" w14:textId="77777777" w:rsidR="00C12C79" w:rsidRDefault="00C12C79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50509D" w14:textId="77777777" w:rsidR="00C12C79" w:rsidRDefault="00C12C79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D34BF4" w14:textId="77777777" w:rsidR="00C12C79" w:rsidRPr="0039094D" w:rsidRDefault="00C12C79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F7E7BE" w14:textId="77777777" w:rsidR="000852FA" w:rsidRPr="0039094D" w:rsidRDefault="000852FA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B82BE5" w14:textId="6A3635A1" w:rsidR="00A23F7D" w:rsidRPr="000852FA" w:rsidRDefault="00A23F7D" w:rsidP="000852FA">
      <w:pPr>
        <w:pStyle w:val="a3"/>
        <w:numPr>
          <w:ilvl w:val="0"/>
          <w:numId w:val="18"/>
        </w:numPr>
        <w:spacing w:line="276" w:lineRule="auto"/>
        <w:jc w:val="center"/>
        <w:rPr>
          <w:b/>
          <w:bCs/>
          <w:lang w:val="ru-RU"/>
        </w:rPr>
      </w:pPr>
      <w:r w:rsidRPr="000852FA">
        <w:rPr>
          <w:b/>
          <w:bCs/>
          <w:lang w:val="ru-RU"/>
        </w:rPr>
        <w:lastRenderedPageBreak/>
        <w:t>ПРОДОЛЖИТЕЛЬНОСТЬ ЗАДАНИЯ</w:t>
      </w:r>
    </w:p>
    <w:p w14:paraId="494C0A5C" w14:textId="77777777" w:rsidR="00E73C3F" w:rsidRPr="000852FA" w:rsidRDefault="00E73C3F" w:rsidP="000852FA">
      <w:pPr>
        <w:pStyle w:val="a3"/>
        <w:spacing w:line="276" w:lineRule="auto"/>
        <w:ind w:left="1080"/>
        <w:rPr>
          <w:b/>
          <w:bCs/>
          <w:lang w:val="ru-RU"/>
        </w:rPr>
      </w:pPr>
    </w:p>
    <w:p w14:paraId="24035AAA" w14:textId="18619DF1" w:rsidR="00FB6369" w:rsidRDefault="0013513F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3F">
        <w:rPr>
          <w:rFonts w:ascii="Times New Roman" w:hAnsi="Times New Roman"/>
          <w:sz w:val="24"/>
          <w:szCs w:val="24"/>
          <w:lang w:val="ru-RU"/>
        </w:rPr>
        <w:t xml:space="preserve">Предварительно срок действия контракта установлен на 24 месяца с испытательным сроком в 3 месяца. Контракт может быть продлен, </w:t>
      </w:r>
      <w:r w:rsidR="004D2877">
        <w:rPr>
          <w:rFonts w:ascii="Times New Roman" w:hAnsi="Times New Roman"/>
          <w:sz w:val="24"/>
          <w:szCs w:val="24"/>
          <w:lang w:val="ru-RU"/>
        </w:rPr>
        <w:t>если</w:t>
      </w:r>
      <w:r w:rsidRPr="0013513F">
        <w:rPr>
          <w:rFonts w:ascii="Times New Roman" w:hAnsi="Times New Roman"/>
          <w:sz w:val="24"/>
          <w:szCs w:val="24"/>
          <w:lang w:val="ru-RU"/>
        </w:rPr>
        <w:t xml:space="preserve"> качество </w:t>
      </w:r>
      <w:r w:rsidR="004D2877">
        <w:rPr>
          <w:rFonts w:ascii="Times New Roman" w:hAnsi="Times New Roman"/>
          <w:sz w:val="24"/>
          <w:szCs w:val="24"/>
          <w:lang w:val="ru-RU"/>
        </w:rPr>
        <w:t>оказания услуг</w:t>
      </w:r>
      <w:r w:rsidRPr="0013513F">
        <w:rPr>
          <w:rFonts w:ascii="Times New Roman" w:hAnsi="Times New Roman"/>
          <w:sz w:val="24"/>
          <w:szCs w:val="24"/>
          <w:lang w:val="ru-RU"/>
        </w:rPr>
        <w:t xml:space="preserve"> будет удовлетворительным</w:t>
      </w:r>
      <w:r w:rsidR="004D287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3513F">
        <w:rPr>
          <w:rFonts w:ascii="Times New Roman" w:hAnsi="Times New Roman"/>
          <w:sz w:val="24"/>
          <w:szCs w:val="24"/>
          <w:lang w:val="ru-RU"/>
        </w:rPr>
        <w:t>при условии сохранения потребности в IT-специалист</w:t>
      </w:r>
      <w:r w:rsidR="004D2877">
        <w:rPr>
          <w:rFonts w:ascii="Times New Roman" w:hAnsi="Times New Roman"/>
          <w:sz w:val="24"/>
          <w:szCs w:val="24"/>
          <w:lang w:val="ru-RU"/>
        </w:rPr>
        <w:t>е</w:t>
      </w:r>
      <w:r w:rsidRPr="0013513F">
        <w:rPr>
          <w:rFonts w:ascii="Times New Roman" w:hAnsi="Times New Roman"/>
          <w:sz w:val="24"/>
          <w:szCs w:val="24"/>
          <w:lang w:val="ru-RU"/>
        </w:rPr>
        <w:t>.</w:t>
      </w:r>
    </w:p>
    <w:p w14:paraId="17411368" w14:textId="77777777" w:rsidR="004D2877" w:rsidRPr="000852FA" w:rsidRDefault="004D2877" w:rsidP="000852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277CA0" w14:textId="11EF6F6A" w:rsidR="00A23F7D" w:rsidRPr="000852FA" w:rsidRDefault="000852FA" w:rsidP="000852F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52FA">
        <w:rPr>
          <w:rFonts w:ascii="Times New Roman" w:hAnsi="Times New Roman"/>
          <w:b/>
          <w:bCs/>
          <w:sz w:val="24"/>
          <w:szCs w:val="24"/>
        </w:rPr>
        <w:t>VI</w:t>
      </w:r>
      <w:r w:rsidRPr="000852FA">
        <w:rPr>
          <w:rFonts w:ascii="Times New Roman" w:hAnsi="Times New Roman"/>
          <w:b/>
          <w:bCs/>
          <w:sz w:val="24"/>
          <w:szCs w:val="24"/>
          <w:lang w:val="ru-RU"/>
        </w:rPr>
        <w:t>. ВКЛАД ОРП ПРИ МЧС КР</w:t>
      </w:r>
    </w:p>
    <w:p w14:paraId="780D41FC" w14:textId="6EB9A928" w:rsidR="00A23F7D" w:rsidRPr="000852FA" w:rsidRDefault="00FB6369" w:rsidP="000852FA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852FA">
        <w:rPr>
          <w:rFonts w:ascii="Times New Roman" w:hAnsi="Times New Roman"/>
          <w:sz w:val="24"/>
          <w:szCs w:val="24"/>
          <w:lang w:val="ru-RU"/>
        </w:rPr>
        <w:t>Заказчик</w:t>
      </w:r>
      <w:r w:rsidR="00A23F7D" w:rsidRPr="000852FA">
        <w:rPr>
          <w:rFonts w:ascii="Times New Roman" w:hAnsi="Times New Roman"/>
          <w:sz w:val="24"/>
          <w:szCs w:val="24"/>
          <w:lang w:val="ru-RU"/>
        </w:rPr>
        <w:t xml:space="preserve"> предоставит необходимые отчеты и исследования, а также другие сопутствующие документы для обеспечения эффективной реализации целей проекта. Также будет предоставлено рабочее место и необходимое компьютерное оборудование.</w:t>
      </w:r>
      <w:r w:rsidR="004F6B88" w:rsidRPr="004F6B88">
        <w:rPr>
          <w:lang w:val="ru-RU"/>
        </w:rPr>
        <w:t xml:space="preserve"> </w:t>
      </w:r>
      <w:r w:rsidR="004F6B88" w:rsidRPr="004F6B88">
        <w:rPr>
          <w:rFonts w:ascii="Times New Roman" w:hAnsi="Times New Roman"/>
          <w:sz w:val="24"/>
          <w:szCs w:val="24"/>
          <w:lang w:val="ru-RU"/>
        </w:rPr>
        <w:t xml:space="preserve">Услуги должны оказываться в центральном офисе </w:t>
      </w:r>
      <w:r w:rsidR="004F6B88">
        <w:rPr>
          <w:rFonts w:ascii="Times New Roman" w:hAnsi="Times New Roman"/>
          <w:sz w:val="24"/>
          <w:szCs w:val="24"/>
          <w:lang w:val="ru-RU"/>
        </w:rPr>
        <w:t>О</w:t>
      </w:r>
      <w:r w:rsidR="004F6B88" w:rsidRPr="004F6B88">
        <w:rPr>
          <w:rFonts w:ascii="Times New Roman" w:hAnsi="Times New Roman"/>
          <w:sz w:val="24"/>
          <w:szCs w:val="24"/>
          <w:lang w:val="ru-RU"/>
        </w:rPr>
        <w:t>РП</w:t>
      </w:r>
      <w:r w:rsidR="004F6B88">
        <w:rPr>
          <w:rFonts w:ascii="Times New Roman" w:hAnsi="Times New Roman"/>
          <w:sz w:val="24"/>
          <w:szCs w:val="24"/>
          <w:lang w:val="ru-RU"/>
        </w:rPr>
        <w:t xml:space="preserve"> при</w:t>
      </w:r>
      <w:r w:rsidR="004F6B88" w:rsidRPr="004F6B88">
        <w:rPr>
          <w:rFonts w:ascii="Times New Roman" w:hAnsi="Times New Roman"/>
          <w:sz w:val="24"/>
          <w:szCs w:val="24"/>
          <w:lang w:val="ru-RU"/>
        </w:rPr>
        <w:t xml:space="preserve"> МЧС КР с необходимыми выездами в другие подразделения МЧС.</w:t>
      </w:r>
    </w:p>
    <w:p w14:paraId="5AC11B74" w14:textId="6C9CD29C" w:rsidR="004F6B88" w:rsidRDefault="00161893" w:rsidP="000852FA">
      <w:pPr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0852FA">
        <w:rPr>
          <w:rFonts w:ascii="Times New Roman" w:hAnsi="Times New Roman"/>
          <w:b/>
          <w:sz w:val="24"/>
          <w:szCs w:val="24"/>
        </w:rPr>
        <w:t>VII</w:t>
      </w:r>
      <w:r w:rsidRPr="000852F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4F6B88">
        <w:rPr>
          <w:rFonts w:ascii="Times New Roman" w:hAnsi="Times New Roman"/>
          <w:b/>
          <w:sz w:val="24"/>
          <w:szCs w:val="24"/>
          <w:lang w:val="ru-RU"/>
        </w:rPr>
        <w:t>ОЖИДАЕМЫЕ РЕЗУЛЬТАТЫ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2835"/>
      </w:tblGrid>
      <w:tr w:rsidR="004F6B88" w:rsidRPr="00330E29" w14:paraId="23E941B1" w14:textId="77777777" w:rsidTr="001809FC">
        <w:trPr>
          <w:trHeight w:val="5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200C" w14:textId="77777777" w:rsidR="004F6B88" w:rsidRPr="000852FA" w:rsidRDefault="004F6B88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</w:pP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Задача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332A" w14:textId="77777777" w:rsidR="004F6B88" w:rsidRPr="000852FA" w:rsidRDefault="004F6B88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</w:rPr>
            </w:pP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Виды</w:t>
            </w:r>
            <w:proofErr w:type="spellEnd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работ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C50D" w14:textId="427C7BFC" w:rsidR="004F6B88" w:rsidRPr="000852FA" w:rsidRDefault="002B2495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2B2495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Предполагаемый срок</w:t>
            </w:r>
          </w:p>
        </w:tc>
      </w:tr>
      <w:tr w:rsidR="004F6B88" w:rsidRPr="000852FA" w14:paraId="2EC5ABFF" w14:textId="77777777" w:rsidTr="001809FC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9DF18" w14:textId="77777777" w:rsidR="004F6B88" w:rsidRPr="000852FA" w:rsidRDefault="004F6B88" w:rsidP="004F6B88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739C" w14:textId="6D2285AD" w:rsidR="004F6B88" w:rsidRPr="000852FA" w:rsidRDefault="002B2495" w:rsidP="001809FC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2B2495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Анализ и рекомендации по модернизации существующих ИКТ-систем М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ЧС КР</w:t>
            </w:r>
            <w:r w:rsidRPr="002B2495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в рамках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003FB" w14:textId="56FB910C" w:rsidR="004F6B88" w:rsidRPr="000852FA" w:rsidRDefault="004F6B88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1,5 </w:t>
            </w:r>
            <w:r w:rsidR="00673F2C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месяца</w:t>
            </w:r>
          </w:p>
        </w:tc>
      </w:tr>
      <w:tr w:rsidR="00BE7822" w:rsidRPr="000852FA" w14:paraId="7E243F23" w14:textId="77777777" w:rsidTr="001940A2">
        <w:trPr>
          <w:trHeight w:val="8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1A32" w14:textId="77777777" w:rsidR="00BE7822" w:rsidRPr="000852FA" w:rsidRDefault="00BE7822" w:rsidP="00BE7822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D1B8" w14:textId="0C177BAE" w:rsidR="00BE7822" w:rsidRPr="000852FA" w:rsidRDefault="00BE7822" w:rsidP="00BE7822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BE7822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Отчет, включающий сводку выявленных проблем, рекомендации по улучшению или обновлению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6CDE" w14:textId="03E3EFFD" w:rsidR="00BE7822" w:rsidRPr="000852FA" w:rsidRDefault="00BE7822" w:rsidP="00BE7822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DF72F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1 месяц</w:t>
            </w:r>
          </w:p>
        </w:tc>
      </w:tr>
      <w:tr w:rsidR="00BE7822" w:rsidRPr="000852FA" w14:paraId="7D7DD1F4" w14:textId="77777777" w:rsidTr="001940A2">
        <w:trPr>
          <w:trHeight w:val="11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0E49" w14:textId="77777777" w:rsidR="00BE7822" w:rsidRPr="000852FA" w:rsidRDefault="00BE7822" w:rsidP="00BE7822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E800" w14:textId="2AA8035E" w:rsidR="00BE7822" w:rsidRPr="000852FA" w:rsidRDefault="008B126F" w:rsidP="00BE7822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Проект ТЗ на создание или модернизацию системы для каждой из трех или четырех систем, подлежащих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2DE6" w14:textId="43B2A7F2" w:rsidR="00BE7822" w:rsidRPr="000852FA" w:rsidRDefault="00BE7822" w:rsidP="00BE7822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DF72F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</w:t>
            </w:r>
            <w:r w:rsidRPr="00DF72F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месяц</w:t>
            </w:r>
          </w:p>
        </w:tc>
      </w:tr>
      <w:tr w:rsidR="00BE7822" w:rsidRPr="000852FA" w14:paraId="37E9FB14" w14:textId="77777777" w:rsidTr="001940A2">
        <w:trPr>
          <w:trHeight w:val="1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C7227" w14:textId="77777777" w:rsidR="00BE7822" w:rsidRPr="000852FA" w:rsidRDefault="00BE7822" w:rsidP="00BE7822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2D64" w14:textId="167C9BEA" w:rsidR="00BE7822" w:rsidRPr="008D1241" w:rsidRDefault="008B126F" w:rsidP="00BE7822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Проекты ТЗ, которые будут включать технические спецификации </w:t>
            </w:r>
            <w:r w:rsidR="00BD065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для</w:t>
            </w: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закуп</w:t>
            </w:r>
            <w:r w:rsidR="00BD065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ок</w:t>
            </w: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, связанны</w:t>
            </w:r>
            <w:r w:rsidR="00BD065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х</w:t>
            </w: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с внедрением национальной системы мониторинга ледников, снежного покрова, селей и паводковых процессов в рамках </w:t>
            </w:r>
            <w:r w:rsidR="00BD0653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ЕСКМП</w:t>
            </w:r>
            <w:r w:rsidR="008D1241" w:rsidRPr="008D1241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</w:t>
            </w:r>
            <w:r w:rsidR="008D1241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ЧС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2C65" w14:textId="6C4F80BD" w:rsidR="00BE7822" w:rsidRPr="000852FA" w:rsidRDefault="00BE7822" w:rsidP="00BE7822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4</w:t>
            </w:r>
            <w:r w:rsidRPr="00DF72F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месяца</w:t>
            </w:r>
          </w:p>
        </w:tc>
      </w:tr>
      <w:tr w:rsidR="00C015A0" w:rsidRPr="00C015A0" w14:paraId="685C1E81" w14:textId="77777777" w:rsidTr="001940A2">
        <w:trPr>
          <w:trHeight w:val="1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D4B87" w14:textId="77777777" w:rsidR="00C015A0" w:rsidRPr="000852FA" w:rsidRDefault="00C015A0" w:rsidP="00BE7822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5C93" w14:textId="5DE1BDBF" w:rsidR="00C015A0" w:rsidRPr="008B126F" w:rsidRDefault="00C015A0" w:rsidP="00BE7822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C015A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Подготовка </w:t>
            </w:r>
            <w:proofErr w:type="gramStart"/>
            <w:r w:rsidRPr="00C015A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заключений по технической оценке</w:t>
            </w:r>
            <w:proofErr w:type="gramEnd"/>
            <w:r w:rsidRPr="00C015A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поданных заявок и предложений для тендерных и отборочных комиссий, участие в переговорах по контрактам с победителями торгов/консультантами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47D9" w14:textId="51F70307" w:rsidR="00C015A0" w:rsidRDefault="00C015A0" w:rsidP="00BE7822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3,5 месяца</w:t>
            </w:r>
          </w:p>
        </w:tc>
      </w:tr>
      <w:tr w:rsidR="004F6B88" w:rsidRPr="000852FA" w14:paraId="5FB38846" w14:textId="77777777" w:rsidTr="006D245E">
        <w:trPr>
          <w:trHeight w:val="52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206AF" w14:textId="77777777" w:rsidR="004F6B88" w:rsidRPr="000852FA" w:rsidRDefault="004F6B88" w:rsidP="004F6B88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27F0" w14:textId="3DCBDA3A" w:rsidR="004F6B88" w:rsidRPr="000852FA" w:rsidRDefault="00387D40" w:rsidP="001809FC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387D4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Мониторинг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исполнения</w:t>
            </w:r>
            <w:r w:rsidRPr="00387D4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контрактов, хода реализации и решение вопросов с заинтересованными сторонами компонента: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ДПМЧС КР,</w:t>
            </w:r>
            <w:r w:rsidRPr="00387D4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Гидромет, И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нститут </w:t>
            </w:r>
            <w:r w:rsidR="00872B9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водных проблем, </w:t>
            </w:r>
            <w:r w:rsidR="00872B9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Тянь-Шанск</w:t>
            </w:r>
            <w:r w:rsidR="00246ED8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ий</w:t>
            </w:r>
            <w:r w:rsidR="00872B9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научн</w:t>
            </w:r>
            <w:r w:rsidR="00246ED8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ый</w:t>
            </w:r>
            <w:r w:rsidR="00872B9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центр, </w:t>
            </w:r>
            <w:proofErr w:type="spellStart"/>
            <w:r w:rsidR="00872B9A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Г</w:t>
            </w:r>
            <w:r w:rsidR="00872B9A"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ипрозем</w:t>
            </w:r>
            <w:proofErr w:type="spellEnd"/>
            <w:r w:rsidR="00872B9A"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proofErr w:type="spellStart"/>
            <w:r w:rsidR="00872B9A"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Сельводзащит</w:t>
            </w:r>
            <w:r w:rsidR="00246ED8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а</w:t>
            </w:r>
            <w:proofErr w:type="spellEnd"/>
            <w:r w:rsidR="00246ED8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3FD26" w14:textId="5B327DC7" w:rsidR="004F6B88" w:rsidRPr="000852FA" w:rsidRDefault="00C015A0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4</w:t>
            </w:r>
            <w:r w:rsidR="00BE7822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месяца</w:t>
            </w:r>
          </w:p>
        </w:tc>
      </w:tr>
    </w:tbl>
    <w:p w14:paraId="6D06881E" w14:textId="77777777" w:rsidR="004F6B88" w:rsidRDefault="004F6B88" w:rsidP="000852FA">
      <w:pPr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7162A290" w14:textId="1063D4E6" w:rsidR="00086250" w:rsidRDefault="00086250" w:rsidP="000852FA">
      <w:pPr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0852FA">
        <w:rPr>
          <w:rFonts w:ascii="Times New Roman" w:hAnsi="Times New Roman"/>
          <w:b/>
          <w:sz w:val="24"/>
          <w:szCs w:val="24"/>
        </w:rPr>
        <w:lastRenderedPageBreak/>
        <w:t>VIII</w:t>
      </w:r>
      <w:r w:rsidRPr="0039094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ГРАФИК ПЛАТЕЖЕЙ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2835"/>
      </w:tblGrid>
      <w:tr w:rsidR="00086250" w:rsidRPr="00330E29" w14:paraId="25608025" w14:textId="77777777" w:rsidTr="001809FC">
        <w:trPr>
          <w:trHeight w:val="5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B68C" w14:textId="77777777" w:rsidR="00086250" w:rsidRPr="000852FA" w:rsidRDefault="00086250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</w:pP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Задача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E271" w14:textId="77777777" w:rsidR="00086250" w:rsidRPr="000852FA" w:rsidRDefault="00086250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</w:rPr>
            </w:pP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Виды</w:t>
            </w:r>
            <w:proofErr w:type="spellEnd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0852FA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</w:rPr>
              <w:t>работ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CAC3" w14:textId="27DFE015" w:rsidR="00086250" w:rsidRPr="000852FA" w:rsidRDefault="00EA3A13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EA3A13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Оплата от общей суммы контракта в %</w:t>
            </w:r>
          </w:p>
        </w:tc>
      </w:tr>
      <w:tr w:rsidR="00086250" w:rsidRPr="000852FA" w14:paraId="25E66137" w14:textId="77777777" w:rsidTr="001809FC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0D51A" w14:textId="77777777" w:rsidR="00086250" w:rsidRPr="000852FA" w:rsidRDefault="00086250" w:rsidP="00086250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E8C3" w14:textId="77777777" w:rsidR="00086250" w:rsidRPr="000852FA" w:rsidRDefault="00086250" w:rsidP="001809FC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2B2495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Анализ и рекомендации по модернизации существующих ИКТ-систем М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ЧС КР</w:t>
            </w:r>
            <w:r w:rsidRPr="002B2495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в рамках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6206" w14:textId="045A876D" w:rsidR="00086250" w:rsidRPr="000852FA" w:rsidRDefault="00EA3A13" w:rsidP="001809FC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10%</w:t>
            </w:r>
          </w:p>
        </w:tc>
      </w:tr>
      <w:tr w:rsidR="00EA3A13" w:rsidRPr="000852FA" w14:paraId="770C9333" w14:textId="77777777" w:rsidTr="001809FC">
        <w:trPr>
          <w:trHeight w:val="8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3713" w14:textId="77777777" w:rsidR="00EA3A13" w:rsidRPr="000852FA" w:rsidRDefault="00EA3A13" w:rsidP="00EA3A13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9A14E" w14:textId="77777777" w:rsidR="00EA3A13" w:rsidRPr="000852FA" w:rsidRDefault="00EA3A13" w:rsidP="00EA3A13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BE7822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Отчет, включающий сводку выявленных проблем, рекомендации по улучшению или обновлению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F92A" w14:textId="19CD6D50" w:rsidR="00EA3A13" w:rsidRPr="000852FA" w:rsidRDefault="00EA3A13" w:rsidP="00EA3A13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2</w:t>
            </w:r>
            <w:r w:rsidRPr="00EB4F26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0%</w:t>
            </w:r>
          </w:p>
        </w:tc>
      </w:tr>
      <w:tr w:rsidR="00EA3A13" w:rsidRPr="000852FA" w14:paraId="05FD9A18" w14:textId="77777777" w:rsidTr="001809FC">
        <w:trPr>
          <w:trHeight w:val="11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0EA7" w14:textId="77777777" w:rsidR="00EA3A13" w:rsidRPr="000852FA" w:rsidRDefault="00EA3A13" w:rsidP="00EA3A13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F1B5" w14:textId="77777777" w:rsidR="00EA3A13" w:rsidRPr="000852FA" w:rsidRDefault="00EA3A13" w:rsidP="00EA3A13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Проект ТЗ на создание или модернизацию системы для каждой из трех или четырех систем, подлежащих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B32E" w14:textId="5F303FF2" w:rsidR="00EA3A13" w:rsidRPr="000852FA" w:rsidRDefault="00EA3A13" w:rsidP="00EA3A13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2</w:t>
            </w:r>
            <w:r w:rsidRPr="00EB4F26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0%</w:t>
            </w:r>
          </w:p>
        </w:tc>
      </w:tr>
      <w:tr w:rsidR="00EA3A13" w:rsidRPr="000852FA" w14:paraId="630E3D38" w14:textId="77777777" w:rsidTr="001809FC">
        <w:trPr>
          <w:trHeight w:val="1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D4EE7" w14:textId="77777777" w:rsidR="00EA3A13" w:rsidRPr="000852FA" w:rsidRDefault="00EA3A13" w:rsidP="00EA3A13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E47F" w14:textId="77777777" w:rsidR="00EA3A13" w:rsidRPr="008D1241" w:rsidRDefault="00EA3A13" w:rsidP="00EA3A13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Проекты ТЗ, которые будут включать технические спецификации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для</w:t>
            </w: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закуп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ок</w:t>
            </w: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, связанны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х</w:t>
            </w:r>
            <w:r w:rsidRPr="008B126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с внедрением национальной системы мониторинга ледников, снежного покрова, селей и паводковых процессов в рамках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ЕСКМП</w:t>
            </w:r>
            <w:r w:rsidRPr="008D1241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ЧС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9801" w14:textId="24DBA4F5" w:rsidR="00EA3A13" w:rsidRPr="000852FA" w:rsidRDefault="00EA3A13" w:rsidP="00EA3A13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2</w:t>
            </w:r>
            <w:r w:rsidRPr="00EB4F26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0%</w:t>
            </w:r>
          </w:p>
        </w:tc>
      </w:tr>
      <w:tr w:rsidR="00EA3A13" w:rsidRPr="00C015A0" w14:paraId="74257ADF" w14:textId="77777777" w:rsidTr="001809FC">
        <w:trPr>
          <w:trHeight w:val="1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F8BE6" w14:textId="77777777" w:rsidR="00EA3A13" w:rsidRPr="000852FA" w:rsidRDefault="00EA3A13" w:rsidP="00EA3A13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C860" w14:textId="77777777" w:rsidR="00EA3A13" w:rsidRPr="008B126F" w:rsidRDefault="00EA3A13" w:rsidP="00EA3A13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C015A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Подготовка </w:t>
            </w:r>
            <w:proofErr w:type="gramStart"/>
            <w:r w:rsidRPr="00C015A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заключений по технической оценке</w:t>
            </w:r>
            <w:proofErr w:type="gramEnd"/>
            <w:r w:rsidRPr="00C015A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поданных заявок и предложений для тендерных и отборочных комиссий, участие в переговорах по контрактам с победителями торгов/консультантами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F235" w14:textId="486D2E4D" w:rsidR="00EA3A13" w:rsidRDefault="00EA3A13" w:rsidP="00EA3A13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2</w:t>
            </w:r>
            <w:r w:rsidRPr="00EB4F26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0%</w:t>
            </w:r>
          </w:p>
        </w:tc>
      </w:tr>
      <w:tr w:rsidR="00EA3A13" w:rsidRPr="000852FA" w14:paraId="346E3EA3" w14:textId="77777777" w:rsidTr="00B11A4B">
        <w:trPr>
          <w:trHeight w:val="52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7AFE0" w14:textId="77777777" w:rsidR="00EA3A13" w:rsidRPr="000852FA" w:rsidRDefault="00EA3A13" w:rsidP="00EA3A13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outlineLvl w:val="0"/>
              <w:rPr>
                <w:b/>
                <w:bCs/>
                <w:color w:val="000000"/>
                <w:position w:val="-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1B49" w14:textId="77777777" w:rsidR="00EA3A13" w:rsidRPr="000852FA" w:rsidRDefault="00EA3A13" w:rsidP="00EA3A13">
            <w:pPr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387D4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Мониторинг 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исполнения</w:t>
            </w:r>
            <w:r w:rsidRPr="00387D4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контрактов, хода реализации и решение вопросов с заинтересованными сторонами компонента: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ДПМЧС КР,</w:t>
            </w:r>
            <w:r w:rsidRPr="00387D40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 Гидромет, И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нститут водных проблем, Тянь-Шанский научный центр, </w:t>
            </w:r>
            <w:proofErr w:type="spellStart"/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Г</w:t>
            </w:r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ипрозем</w:t>
            </w:r>
            <w:proofErr w:type="spellEnd"/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 xml:space="preserve">, </w:t>
            </w:r>
            <w:proofErr w:type="spellStart"/>
            <w:r w:rsidRPr="00621C37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Сельводзащит</w:t>
            </w:r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A379" w14:textId="6BBF9ABF" w:rsidR="00EA3A13" w:rsidRPr="000852FA" w:rsidRDefault="00EA3A13" w:rsidP="00EA3A13">
            <w:pPr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</w:pPr>
            <w:r w:rsidRPr="00EB4F26">
              <w:rPr>
                <w:rFonts w:ascii="Times New Roman" w:hAnsi="Times New Roman"/>
                <w:color w:val="000000"/>
                <w:position w:val="-2"/>
                <w:sz w:val="24"/>
                <w:szCs w:val="24"/>
                <w:u w:color="000000"/>
                <w:lang w:val="ru-RU"/>
              </w:rPr>
              <w:t>10%</w:t>
            </w:r>
          </w:p>
        </w:tc>
      </w:tr>
    </w:tbl>
    <w:p w14:paraId="3A507735" w14:textId="77777777" w:rsidR="00C12C79" w:rsidRDefault="00C12C79" w:rsidP="000852FA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D45DDEE" w14:textId="77777777" w:rsidR="000B4CA6" w:rsidRPr="000852FA" w:rsidRDefault="000B4CA6" w:rsidP="000852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EC3442" w14:textId="6977DDE5" w:rsidR="0039364A" w:rsidRPr="000852FA" w:rsidRDefault="004F3E5D" w:rsidP="0008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ru-RU" w:eastAsia="ru-RU"/>
        </w:rPr>
      </w:pPr>
      <w:r w:rsidRPr="000852FA"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  <w:t>IX</w:t>
      </w:r>
      <w:r w:rsidR="00B76F0E" w:rsidRPr="000852FA">
        <w:rPr>
          <w:rFonts w:ascii="Times New Roman" w:eastAsia="Times New Roman" w:hAnsi="Times New Roman"/>
          <w:b/>
          <w:color w:val="212121"/>
          <w:sz w:val="24"/>
          <w:szCs w:val="24"/>
          <w:lang w:val="ru-RU" w:eastAsia="ru-RU"/>
        </w:rPr>
        <w:t>. КВАЛИФИКАЦИ</w:t>
      </w:r>
      <w:r w:rsidR="0039364A" w:rsidRPr="000852FA">
        <w:rPr>
          <w:rFonts w:ascii="Times New Roman" w:eastAsia="Times New Roman" w:hAnsi="Times New Roman"/>
          <w:b/>
          <w:color w:val="212121"/>
          <w:sz w:val="24"/>
          <w:szCs w:val="24"/>
          <w:lang w:val="ru-RU" w:eastAsia="ru-RU"/>
        </w:rPr>
        <w:t>ОННЫЕ КРИТЕРИИ</w:t>
      </w:r>
    </w:p>
    <w:p w14:paraId="4324521B" w14:textId="56CA32B6" w:rsidR="0039364A" w:rsidRPr="0039094D" w:rsidRDefault="003352CC" w:rsidP="000852F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Cs/>
          <w:color w:val="212121"/>
          <w:sz w:val="24"/>
          <w:szCs w:val="24"/>
          <w:lang w:val="ru-RU" w:eastAsia="ru-RU"/>
        </w:rPr>
      </w:pPr>
      <w:r w:rsidRPr="000852FA">
        <w:rPr>
          <w:rFonts w:ascii="Times New Roman" w:eastAsia="Times New Roman" w:hAnsi="Times New Roman"/>
          <w:bCs/>
          <w:color w:val="212121"/>
          <w:sz w:val="24"/>
          <w:szCs w:val="24"/>
          <w:lang w:val="ru-RU" w:eastAsia="ru-RU"/>
        </w:rPr>
        <w:t>Консультант должен отвечать следующим минимальным квалификационным требованиям:</w:t>
      </w:r>
    </w:p>
    <w:p w14:paraId="1D20E445" w14:textId="77777777" w:rsidR="000852FA" w:rsidRPr="0039094D" w:rsidRDefault="000852FA" w:rsidP="000852F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Cs/>
          <w:color w:val="212121"/>
          <w:sz w:val="24"/>
          <w:szCs w:val="24"/>
          <w:lang w:val="ru-RU" w:eastAsia="ru-RU"/>
        </w:rPr>
      </w:pPr>
    </w:p>
    <w:p w14:paraId="5C5F7DA8" w14:textId="77E28D26" w:rsidR="004D2877" w:rsidRPr="004D2877" w:rsidRDefault="004D2877" w:rsidP="004D2877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bCs/>
          <w:lang w:val="ru-RU"/>
        </w:rPr>
      </w:pPr>
      <w:r w:rsidRPr="004D2877">
        <w:rPr>
          <w:bCs/>
          <w:lang w:val="ru-RU"/>
        </w:rPr>
        <w:t>Высшее образование в области телекоммуникаций и/или информационных технологий</w:t>
      </w:r>
      <w:r w:rsidR="00EA3A13">
        <w:rPr>
          <w:bCs/>
          <w:lang w:val="ru-RU"/>
        </w:rPr>
        <w:t xml:space="preserve"> – 20 баллов</w:t>
      </w:r>
      <w:r w:rsidRPr="004D2877">
        <w:rPr>
          <w:bCs/>
          <w:lang w:val="ru-RU"/>
        </w:rPr>
        <w:t>;</w:t>
      </w:r>
    </w:p>
    <w:p w14:paraId="56647AA9" w14:textId="15FF668C" w:rsidR="004D2877" w:rsidRPr="004D2877" w:rsidRDefault="004D2877" w:rsidP="004D2877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bCs/>
          <w:lang w:val="ru-RU"/>
        </w:rPr>
      </w:pPr>
      <w:r w:rsidRPr="004D2877">
        <w:rPr>
          <w:bCs/>
          <w:lang w:val="ru-RU"/>
        </w:rPr>
        <w:t>Не менее 5 лет соответствующего опыта работы в сфере чрезвычайных ситуаций, в разработке государственных информационных систем и комплексных систем мониторинга в любой сфере, а также анализа, проектирования и разработки информационных систем</w:t>
      </w:r>
      <w:r w:rsidR="006D0115">
        <w:rPr>
          <w:bCs/>
          <w:lang w:val="ru-RU"/>
        </w:rPr>
        <w:t xml:space="preserve"> - 3</w:t>
      </w:r>
      <w:r w:rsidR="006D0115">
        <w:rPr>
          <w:bCs/>
          <w:lang w:val="ru-RU"/>
        </w:rPr>
        <w:t>0 баллов</w:t>
      </w:r>
      <w:r w:rsidR="006D0115" w:rsidRPr="004D2877">
        <w:rPr>
          <w:bCs/>
          <w:lang w:val="ru-RU"/>
        </w:rPr>
        <w:t>;</w:t>
      </w:r>
    </w:p>
    <w:p w14:paraId="67C27D0F" w14:textId="71BE8F85" w:rsidR="004D2877" w:rsidRPr="004D2877" w:rsidRDefault="004D2877" w:rsidP="004D2877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bCs/>
          <w:lang w:val="ru-RU"/>
        </w:rPr>
      </w:pPr>
      <w:r w:rsidRPr="004D2877">
        <w:rPr>
          <w:bCs/>
          <w:lang w:val="ru-RU"/>
        </w:rPr>
        <w:t>Свободное владение кыргызским, русским и английским языками</w:t>
      </w:r>
      <w:r w:rsidR="006D0115">
        <w:rPr>
          <w:bCs/>
          <w:lang w:val="ru-RU"/>
        </w:rPr>
        <w:t xml:space="preserve"> - </w:t>
      </w:r>
      <w:r w:rsidR="006D0115">
        <w:rPr>
          <w:bCs/>
          <w:lang w:val="ru-RU"/>
        </w:rPr>
        <w:t>20 баллов</w:t>
      </w:r>
      <w:r w:rsidRPr="004D2877">
        <w:rPr>
          <w:bCs/>
          <w:lang w:val="ru-RU"/>
        </w:rPr>
        <w:t>;</w:t>
      </w:r>
    </w:p>
    <w:p w14:paraId="5EAF44A8" w14:textId="43E89FAD" w:rsidR="00567A0F" w:rsidRPr="00DA47DF" w:rsidRDefault="004D2877" w:rsidP="004D2877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lang w:val="ru-RU"/>
        </w:rPr>
      </w:pPr>
      <w:r w:rsidRPr="004D2877">
        <w:rPr>
          <w:bCs/>
          <w:lang w:val="ru-RU"/>
        </w:rPr>
        <w:t>Опыт проведения оценок, анализа нормативно-правовой и технической документации, подготовки технических заданий и отчетов</w:t>
      </w:r>
      <w:r w:rsidR="006D0115">
        <w:rPr>
          <w:bCs/>
          <w:lang w:val="ru-RU"/>
        </w:rPr>
        <w:t xml:space="preserve"> - 3</w:t>
      </w:r>
      <w:r w:rsidR="006D0115">
        <w:rPr>
          <w:bCs/>
          <w:lang w:val="ru-RU"/>
        </w:rPr>
        <w:t>0 баллов</w:t>
      </w:r>
      <w:r w:rsidR="006D0115">
        <w:rPr>
          <w:bCs/>
          <w:lang w:val="ru-RU"/>
        </w:rPr>
        <w:t>.</w:t>
      </w:r>
    </w:p>
    <w:p w14:paraId="0EA48639" w14:textId="30BDE628" w:rsidR="00DA47DF" w:rsidRDefault="00DA47DF" w:rsidP="00DA47DF">
      <w:pPr>
        <w:pStyle w:val="a3"/>
        <w:ind w:left="-109" w:right="255"/>
        <w:contextualSpacing w:val="0"/>
        <w:jc w:val="both"/>
        <w:rPr>
          <w:rFonts w:cs="Calibri"/>
          <w:b/>
          <w:bCs/>
          <w:lang w:val="ru-RU"/>
        </w:rPr>
      </w:pPr>
      <w:bookmarkStart w:id="0" w:name="_Hlk148523451"/>
      <w:bookmarkStart w:id="1" w:name="_Hlk148449619"/>
      <w:r w:rsidRPr="00DA47DF">
        <w:rPr>
          <w:rFonts w:cs="Calibri"/>
          <w:b/>
          <w:bCs/>
          <w:lang w:val="ru-RU"/>
        </w:rPr>
        <w:lastRenderedPageBreak/>
        <w:t xml:space="preserve">Приложение </w:t>
      </w:r>
      <w:r>
        <w:rPr>
          <w:rFonts w:cs="Calibri"/>
          <w:b/>
          <w:bCs/>
          <w:lang w:val="ru-RU"/>
        </w:rPr>
        <w:t>-</w:t>
      </w:r>
      <w:r w:rsidRPr="00DA47DF">
        <w:rPr>
          <w:rFonts w:cs="Calibri"/>
          <w:b/>
          <w:bCs/>
          <w:lang w:val="ru-RU"/>
        </w:rPr>
        <w:t>Мероприятия в рамках подкомпонентов 1.1 и 1.2</w:t>
      </w:r>
      <w:r>
        <w:rPr>
          <w:rFonts w:cs="Calibri"/>
          <w:b/>
          <w:bCs/>
          <w:lang w:val="ru-RU"/>
        </w:rPr>
        <w:t>.</w:t>
      </w:r>
    </w:p>
    <w:p w14:paraId="4C10FD08" w14:textId="77777777" w:rsidR="00DA47DF" w:rsidRDefault="00DA47DF" w:rsidP="00DA47DF">
      <w:pPr>
        <w:pStyle w:val="a3"/>
        <w:ind w:left="-109" w:right="255"/>
        <w:contextualSpacing w:val="0"/>
        <w:jc w:val="both"/>
        <w:rPr>
          <w:rFonts w:cs="Calibri"/>
          <w:b/>
          <w:bCs/>
          <w:lang w:val="ru-RU"/>
        </w:rPr>
      </w:pPr>
    </w:p>
    <w:p w14:paraId="0F3D9AD8" w14:textId="58BDF147" w:rsidR="00DA47DF" w:rsidRPr="00B7797D" w:rsidRDefault="00DA47DF" w:rsidP="00DA47DF">
      <w:pPr>
        <w:pStyle w:val="a3"/>
        <w:ind w:left="-109" w:right="255"/>
        <w:contextualSpacing w:val="0"/>
        <w:jc w:val="both"/>
        <w:rPr>
          <w:rFonts w:cs="Calibri"/>
          <w:b/>
          <w:bCs/>
          <w:lang w:val="ru-RU"/>
        </w:rPr>
      </w:pPr>
      <w:r w:rsidRPr="00B7797D">
        <w:rPr>
          <w:rFonts w:cs="Calibri"/>
          <w:b/>
          <w:bCs/>
          <w:lang w:val="ru-RU"/>
        </w:rPr>
        <w:t xml:space="preserve">Подкомпонент 1.1: Укрепление институтов и потенциала мониторинга климатических опасностей </w:t>
      </w:r>
      <w:r w:rsidRPr="00B7797D">
        <w:rPr>
          <w:rFonts w:cs="Calibri"/>
          <w:b/>
          <w:bCs/>
          <w:i/>
          <w:iCs/>
          <w:lang w:val="ru-RU"/>
        </w:rPr>
        <w:t>(6,50 млн долл. США от МАР)</w:t>
      </w:r>
    </w:p>
    <w:bookmarkEnd w:id="0"/>
    <w:p w14:paraId="496A0358" w14:textId="77777777" w:rsidR="00DA47DF" w:rsidRPr="00B7797D" w:rsidRDefault="00DA47DF" w:rsidP="00DA47DF">
      <w:pPr>
        <w:tabs>
          <w:tab w:val="left" w:pos="270"/>
          <w:tab w:val="left" w:pos="720"/>
          <w:tab w:val="left" w:pos="2515"/>
        </w:tabs>
        <w:spacing w:line="240" w:lineRule="auto"/>
        <w:ind w:right="255"/>
        <w:jc w:val="both"/>
        <w:rPr>
          <w:rFonts w:eastAsia="Times New Roman" w:cs="Calibri"/>
          <w:lang w:val="ru-RU"/>
        </w:rPr>
      </w:pPr>
    </w:p>
    <w:p w14:paraId="4CADC6A2" w14:textId="77777777" w:rsidR="00DA47DF" w:rsidRPr="00DA47DF" w:rsidRDefault="00DA47DF" w:rsidP="00DA47DF">
      <w:pPr>
        <w:tabs>
          <w:tab w:val="left" w:pos="720"/>
          <w:tab w:val="left" w:pos="2515"/>
        </w:tabs>
        <w:ind w:right="259"/>
        <w:jc w:val="both"/>
        <w:rPr>
          <w:rFonts w:ascii="Times New Roman" w:hAnsi="Times New Roman"/>
          <w:sz w:val="24"/>
          <w:szCs w:val="24"/>
          <w:lang w:val="ru-RU"/>
        </w:rPr>
      </w:pPr>
      <w:r w:rsidRPr="00DA47D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1. Для улучшения мониторинга ледников и снежного покрова подкомпонент </w:t>
      </w:r>
      <w:r w:rsidRPr="00DA47DF">
        <w:rPr>
          <w:rFonts w:ascii="Times New Roman" w:hAnsi="Times New Roman"/>
          <w:sz w:val="24"/>
          <w:szCs w:val="24"/>
          <w:lang w:val="ru-RU"/>
        </w:rPr>
        <w:t>укрепит возможности КГМ при МЧС, Института водных проблем и гидроэнергетики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ИВПиГЭ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) и ТШВНЦ при НАН для проведения мониторинга и прогнозирования ледников. КГМ получит поддержку в следующих вопросах: (i) разработка и внедрение национальной системы мониторинга ледников и снежного покрова; с сопутствующей деятельностью, такой как подготовка стандартных методологий мониторинга и моделирования, интеграция инвентаризации ледников и оборудования </w:t>
      </w:r>
      <w:r w:rsidRPr="00DA47DF">
        <w:rPr>
          <w:rStyle w:val="normaltextrun"/>
          <w:rFonts w:ascii="Times New Roman" w:hAnsi="Times New Roman"/>
          <w:sz w:val="24"/>
          <w:szCs w:val="24"/>
          <w:lang w:val="ru-RU"/>
        </w:rPr>
        <w:t xml:space="preserve">информационно-коммуникационных технологий </w:t>
      </w:r>
      <w:r w:rsidRPr="00DA47DF">
        <w:rPr>
          <w:rFonts w:ascii="Times New Roman" w:hAnsi="Times New Roman"/>
          <w:sz w:val="24"/>
          <w:szCs w:val="24"/>
          <w:lang w:val="ru-RU"/>
        </w:rPr>
        <w:t>(ИКТ);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ii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) мониторинг полевого оборудования и других товаров;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iii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) практическое обучение младшего персонала и партнеров;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iv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) эксплуатационные расходы полевых экспедиций по мониторингу ледников хребта 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Кунгей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 Ала-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Тоо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Чок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-Тале и бассейна реки Чон-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Аксуу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 в Иссык-Кульской области; и (v) строительство лавинной станции на перевале Кугарт. ТШВНЦ будет обеспечен: (i) современным оборудованием и операционными расходами для полевых исследований и вертикального зондирования, а также соответствующими расходами, которые позволят ему провести и обновить свои исследования ледников; и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ii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) товары, консультации и обучение, которые помогут ему проводить климатическое и гидрологическое моделирование ледников, а также оценку рисков ледниковых опасностей, таких как лавины и НПЛО. ТШВНЦ окажет поддержку КГМ в создании национальной системы мониторинга ледников и снежного покрова.</w:t>
      </w:r>
    </w:p>
    <w:p w14:paraId="1667DDB6" w14:textId="63BE35FE" w:rsidR="00DA47DF" w:rsidRPr="00DA47DF" w:rsidRDefault="00DA47DF" w:rsidP="00DA47DF">
      <w:pPr>
        <w:tabs>
          <w:tab w:val="left" w:pos="720"/>
          <w:tab w:val="left" w:pos="2515"/>
        </w:tabs>
        <w:ind w:right="259"/>
        <w:jc w:val="both"/>
        <w:rPr>
          <w:rFonts w:ascii="Times New Roman" w:hAnsi="Times New Roman"/>
          <w:sz w:val="24"/>
          <w:szCs w:val="24"/>
          <w:lang w:val="ru-RU"/>
        </w:rPr>
      </w:pPr>
      <w:r w:rsidRPr="00DA47DF">
        <w:rPr>
          <w:rFonts w:ascii="Times New Roman" w:hAnsi="Times New Roman"/>
          <w:sz w:val="24"/>
          <w:szCs w:val="24"/>
          <w:lang w:val="ru-RU"/>
        </w:rPr>
        <w:t xml:space="preserve">2. Для улучшения мониторинга селей подкомпонент будет оказывать поддержку ДМПЧС МЧС, который управляет ЕСКМПЧС, и 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ИВПиГЭ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, который занимается наблюдениями за селями и наводнениями и выпускает прогнозы доступности воды. ДМПЧС получит поддержку в следующих вопросах: (i) закупка оборудования для мониторинга, такого как мобильные точки мониторинга, лазерные сканеры, беспилотные летательные аппараты, дроны, спутниковые данные и оборудование для полевых исследований,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ii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) установка 1-2 автоматизированных станций мониторинга в бассейне реки Кара-Дарья; и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iii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) обучение сотрудников МЧС использованию нового оборудования и систем.</w:t>
      </w:r>
      <w:r w:rsidRPr="00DA47D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ИВПиГЭ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 возьмет на себя разработку методологий и руководств по прогнозированию, моделированию и оценке селевых опасностей, которые должны будут утверждаться МЧС. Данная деятельность будет подкреплена полевым мониторинговым исследованием по наблюдению за ледниковыми озерами с высоким риском 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прорывоопасных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 xml:space="preserve"> паводков и закупкой оборудования для мониторинга, технической помощью и обучением по географической информационной системе (ГИС) для усиления их оцифровки, обновления карт и возможностей проверки испытаниями в полевых условиях. </w:t>
      </w:r>
    </w:p>
    <w:p w14:paraId="29B14165" w14:textId="77777777" w:rsidR="00DA47DF" w:rsidRPr="00DA47DF" w:rsidRDefault="00DA47DF" w:rsidP="00DA47DF">
      <w:pPr>
        <w:pStyle w:val="a3"/>
        <w:tabs>
          <w:tab w:val="left" w:pos="720"/>
          <w:tab w:val="left" w:pos="2515"/>
        </w:tabs>
        <w:ind w:left="0" w:right="255"/>
        <w:jc w:val="both"/>
        <w:rPr>
          <w:lang w:val="ru-RU"/>
        </w:rPr>
      </w:pPr>
    </w:p>
    <w:p w14:paraId="102694F7" w14:textId="0C7CF973" w:rsidR="00DA47DF" w:rsidRPr="00DA47DF" w:rsidRDefault="00DA47DF" w:rsidP="00DA47DF">
      <w:pPr>
        <w:tabs>
          <w:tab w:val="left" w:pos="720"/>
          <w:tab w:val="left" w:pos="2515"/>
        </w:tabs>
        <w:ind w:right="255"/>
        <w:jc w:val="both"/>
        <w:rPr>
          <w:rFonts w:ascii="Times New Roman" w:hAnsi="Times New Roman"/>
          <w:sz w:val="24"/>
          <w:szCs w:val="24"/>
          <w:lang w:val="ru-RU"/>
        </w:rPr>
      </w:pPr>
      <w:r w:rsidRPr="00DA47DF">
        <w:rPr>
          <w:rFonts w:ascii="Times New Roman" w:hAnsi="Times New Roman"/>
          <w:sz w:val="24"/>
          <w:szCs w:val="24"/>
          <w:lang w:val="ru-RU"/>
        </w:rPr>
        <w:t xml:space="preserve">3. Подкомпонент </w:t>
      </w:r>
      <w:r w:rsidRPr="00DA47D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также будет финансировать установку гидрологических и метеорологических постов для измерения эффективности вмешательств в нижнем течении на каждом участке, а также оборудования для мониторинга переноса наносов для информирования и проверки разработки климатически устойчивых мер по смягчению последствий селевых потоков.</w:t>
      </w:r>
    </w:p>
    <w:bookmarkEnd w:id="1"/>
    <w:p w14:paraId="332D6FF8" w14:textId="77777777" w:rsidR="00DA47DF" w:rsidRPr="00DA47DF" w:rsidRDefault="00DA47DF" w:rsidP="00DA47DF">
      <w:pPr>
        <w:pStyle w:val="a3"/>
        <w:tabs>
          <w:tab w:val="left" w:pos="270"/>
          <w:tab w:val="left" w:pos="720"/>
          <w:tab w:val="left" w:pos="2515"/>
        </w:tabs>
        <w:ind w:left="-360" w:right="360"/>
        <w:jc w:val="both"/>
        <w:rPr>
          <w:lang w:val="ru-RU"/>
        </w:rPr>
      </w:pPr>
    </w:p>
    <w:p w14:paraId="712D4552" w14:textId="77777777" w:rsidR="00DA47DF" w:rsidRPr="00DA47DF" w:rsidRDefault="00DA47DF" w:rsidP="00DA47DF">
      <w:pPr>
        <w:pStyle w:val="a3"/>
        <w:ind w:left="0" w:right="255"/>
        <w:contextualSpacing w:val="0"/>
        <w:jc w:val="both"/>
        <w:rPr>
          <w:b/>
          <w:bCs/>
          <w:lang w:val="ru-RU"/>
        </w:rPr>
      </w:pPr>
      <w:r w:rsidRPr="00DA47DF">
        <w:rPr>
          <w:b/>
          <w:bCs/>
          <w:lang w:val="ru-RU"/>
        </w:rPr>
        <w:t xml:space="preserve">Подкомпонент 1.2: ИКТ для управления рисками бедствий в истощенных ландшафтах </w:t>
      </w:r>
      <w:r w:rsidRPr="00DA47DF">
        <w:rPr>
          <w:b/>
          <w:bCs/>
          <w:i/>
          <w:iCs/>
          <w:lang w:val="ru-RU"/>
        </w:rPr>
        <w:t>(2,4 млн долл. США от KWPF)</w:t>
      </w:r>
    </w:p>
    <w:p w14:paraId="70C95EE3" w14:textId="77777777" w:rsidR="00DA47DF" w:rsidRPr="00DA47DF" w:rsidRDefault="00DA47DF" w:rsidP="00DA47DF">
      <w:pPr>
        <w:pStyle w:val="a3"/>
        <w:ind w:left="0" w:right="255"/>
        <w:contextualSpacing w:val="0"/>
        <w:jc w:val="both"/>
        <w:rPr>
          <w:b/>
          <w:bCs/>
          <w:lang w:val="ru-RU"/>
        </w:rPr>
      </w:pPr>
    </w:p>
    <w:p w14:paraId="784A0D4B" w14:textId="36A690FD" w:rsidR="00DA47DF" w:rsidRPr="00DA47DF" w:rsidRDefault="00DA47DF" w:rsidP="00DA47DF">
      <w:pPr>
        <w:tabs>
          <w:tab w:val="left" w:pos="720"/>
          <w:tab w:val="left" w:pos="2515"/>
        </w:tabs>
        <w:ind w:right="255"/>
        <w:jc w:val="both"/>
        <w:rPr>
          <w:rFonts w:ascii="Times New Roman" w:hAnsi="Times New Roman"/>
          <w:sz w:val="24"/>
          <w:szCs w:val="24"/>
          <w:lang w:val="ru-RU"/>
        </w:rPr>
      </w:pPr>
      <w:r w:rsidRPr="00DA47DF">
        <w:rPr>
          <w:rStyle w:val="normaltextrun"/>
          <w:rFonts w:ascii="Times New Roman" w:hAnsi="Times New Roman"/>
          <w:sz w:val="24"/>
          <w:szCs w:val="24"/>
          <w:lang w:val="ru-RU"/>
        </w:rPr>
        <w:t xml:space="preserve">1. В рамках подкомпонента будет финансироваться проектирование систем ИКТ, техническая поддержка, программное обеспечение, оборудование и </w:t>
      </w:r>
      <w:r w:rsidRPr="00DA47D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обмен опытом с экспертными агентствами из Кореи </w:t>
      </w:r>
      <w:r w:rsidRPr="00DA47DF">
        <w:rPr>
          <w:rStyle w:val="normaltextrun"/>
          <w:rFonts w:ascii="Times New Roman" w:hAnsi="Times New Roman"/>
          <w:sz w:val="24"/>
          <w:szCs w:val="24"/>
          <w:lang w:val="ru-RU"/>
        </w:rPr>
        <w:t xml:space="preserve">для разработки </w:t>
      </w:r>
      <w:r w:rsidRPr="00DA47DF">
        <w:rPr>
          <w:rFonts w:ascii="Times New Roman" w:hAnsi="Times New Roman"/>
          <w:iCs/>
          <w:sz w:val="24"/>
          <w:szCs w:val="24"/>
          <w:lang w:val="ru-RU"/>
        </w:rPr>
        <w:t xml:space="preserve">управляемого данными и ориентированного на пользователя инструмента ИКТ для </w:t>
      </w:r>
      <w:r w:rsidRPr="00DA47DF">
        <w:rPr>
          <w:rStyle w:val="normaltextrun"/>
          <w:rFonts w:ascii="Times New Roman" w:hAnsi="Times New Roman"/>
          <w:sz w:val="24"/>
          <w:szCs w:val="24"/>
          <w:lang w:val="ru-RU"/>
        </w:rPr>
        <w:t>мониторинга селей в истощенных ландшафтах</w:t>
      </w:r>
      <w:r w:rsidRPr="00DA47D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47DF">
        <w:rPr>
          <w:rStyle w:val="normaltextrun"/>
          <w:rFonts w:ascii="Times New Roman" w:hAnsi="Times New Roman"/>
          <w:sz w:val="24"/>
          <w:szCs w:val="24"/>
          <w:lang w:val="ru-RU"/>
        </w:rPr>
        <w:t>и его внедрения</w:t>
      </w:r>
      <w:r w:rsidRPr="00DA47D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DA47DF">
        <w:rPr>
          <w:rStyle w:val="normaltextrun"/>
          <w:rFonts w:ascii="Times New Roman" w:hAnsi="Times New Roman"/>
          <w:sz w:val="24"/>
          <w:szCs w:val="24"/>
          <w:lang w:val="ru-RU"/>
        </w:rPr>
        <w:t xml:space="preserve">в систему мониторинга селей и ЕСКМПЧС. Впоследствии, ЕСКМПЧС будет обладать расширенными </w:t>
      </w:r>
      <w:r w:rsidRPr="00DA47DF">
        <w:rPr>
          <w:rFonts w:ascii="Times New Roman" w:hAnsi="Times New Roman"/>
          <w:sz w:val="24"/>
          <w:szCs w:val="24"/>
          <w:lang w:val="ru-RU"/>
        </w:rPr>
        <w:t>геопространственными и картографическими возможностями, утилитой спутниковых данных и функциями для анализа взаимосвязи между деградацией земель, земельным покровом и селями, а также функциями, которые облегчают межправительственный обмен данными для более точного и оперативного прогнозирования селей и принятия решений. В то время как модернизацию ЕСКМПЧС будет возглавлять ДМПЧС, Департаменту защиты от селей МЧС будет оказана поддержка в разработке системы управления активами, в которой будут храниться исторические данные о селях, такие как местоположения и количество пострадавших людей, а также инвентаризация инфраструктуры (например, насыпей и полузапруд) в отношении информации ГИС, условий, записей о ремонтах и т. д.</w:t>
      </w:r>
    </w:p>
    <w:p w14:paraId="4BECE690" w14:textId="77777777" w:rsidR="00DA47DF" w:rsidRPr="00DA47DF" w:rsidRDefault="00DA47DF" w:rsidP="00DA47DF">
      <w:pPr>
        <w:pStyle w:val="a3"/>
        <w:tabs>
          <w:tab w:val="left" w:pos="720"/>
          <w:tab w:val="left" w:pos="2515"/>
        </w:tabs>
        <w:ind w:left="0" w:right="255"/>
        <w:jc w:val="both"/>
        <w:rPr>
          <w:lang w:val="ru-RU"/>
        </w:rPr>
      </w:pPr>
    </w:p>
    <w:p w14:paraId="5A5606F1" w14:textId="43C7E309" w:rsidR="00DA47DF" w:rsidRPr="00DA47DF" w:rsidRDefault="00DA47DF" w:rsidP="00DA47DF">
      <w:pPr>
        <w:tabs>
          <w:tab w:val="left" w:pos="720"/>
          <w:tab w:val="left" w:pos="2515"/>
        </w:tabs>
        <w:ind w:right="255"/>
        <w:jc w:val="both"/>
        <w:rPr>
          <w:rFonts w:ascii="Times New Roman" w:hAnsi="Times New Roman"/>
          <w:sz w:val="24"/>
          <w:szCs w:val="24"/>
          <w:lang w:val="ru-RU"/>
        </w:rPr>
      </w:pPr>
      <w:r w:rsidRPr="00DA47DF">
        <w:rPr>
          <w:rFonts w:ascii="Times New Roman" w:hAnsi="Times New Roman"/>
          <w:sz w:val="24"/>
          <w:szCs w:val="24"/>
          <w:lang w:val="ru-RU"/>
        </w:rPr>
        <w:t>2. Программное обеспечение и оборудование ИКТ региональных отделений ДМПЧС и Департамента селезащиты МЧС будут модернизированы, а соответствующие государственные ведомства получат доступ к системе. Подкомпонент также будет финансировать разработку руководств и повысит потенциал ДМПЧС и других соответствующих департаментов по эксплуатации и обслуживанию инструментов ИКТ, включая ознакомительную поездку в/из Кореи экспертов, а также другое ИКТ-оборудование для ДМПЧС, чтобы помочь ему получить доступ и анализировать полевые данные, собранные его отделениями на местах. Подкомпонент будет финансировать оборудование ИКТ (программное обеспечение ГИС, дроны, оборудование системы глобального позиционирования, компьютерное оборудование), а также информационные технологии и экспертизу, связанную с ГИС, для Кыргызского проектного института по землеустройству (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Гипрозем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) Министерства сельского хозяйства, который отвечает за ведение национальных карт деградации земель. Это оборудование поможет «</w:t>
      </w:r>
      <w:proofErr w:type="spellStart"/>
      <w:r w:rsidRPr="00DA47DF">
        <w:rPr>
          <w:rFonts w:ascii="Times New Roman" w:hAnsi="Times New Roman"/>
          <w:sz w:val="24"/>
          <w:szCs w:val="24"/>
          <w:lang w:val="ru-RU"/>
        </w:rPr>
        <w:t>Гипрозему</w:t>
      </w:r>
      <w:proofErr w:type="spellEnd"/>
      <w:r w:rsidRPr="00DA47DF">
        <w:rPr>
          <w:rFonts w:ascii="Times New Roman" w:hAnsi="Times New Roman"/>
          <w:sz w:val="24"/>
          <w:szCs w:val="24"/>
          <w:lang w:val="ru-RU"/>
        </w:rPr>
        <w:t>» создавать цифровые карты деградации земель и другие технические отчеты, которые будут интегрированы в национальную систему мониторинга селей, чтобы обеспечить более надежную доступность данных для прогнозирования. На проектных территориях будут проводиться полевые исследования для проверки карт и уточнения процесса. В системах будут использованы новейшие высокоэффективные технологии с низким уровнем выбросов, соответствующие рекомендациям Всемирного банка для оборудования ИКТ/мониторинга.</w:t>
      </w:r>
    </w:p>
    <w:p w14:paraId="31552338" w14:textId="77777777" w:rsidR="00DA47DF" w:rsidRPr="00DA47DF" w:rsidRDefault="00DA47DF" w:rsidP="00DA47DF">
      <w:pPr>
        <w:pStyle w:val="a3"/>
        <w:tabs>
          <w:tab w:val="left" w:pos="720"/>
          <w:tab w:val="left" w:pos="2515"/>
        </w:tabs>
        <w:ind w:left="0" w:right="255"/>
        <w:jc w:val="both"/>
        <w:rPr>
          <w:lang w:val="ru-RU"/>
        </w:rPr>
      </w:pPr>
    </w:p>
    <w:p w14:paraId="2A34E2C1" w14:textId="59FF4E25" w:rsidR="00DA47DF" w:rsidRPr="00DA47DF" w:rsidRDefault="00DA47DF" w:rsidP="00DA47DF">
      <w:pPr>
        <w:tabs>
          <w:tab w:val="left" w:pos="720"/>
          <w:tab w:val="left" w:pos="2515"/>
        </w:tabs>
        <w:ind w:right="255"/>
        <w:jc w:val="both"/>
        <w:rPr>
          <w:rFonts w:ascii="Times New Roman" w:hAnsi="Times New Roman"/>
          <w:sz w:val="24"/>
          <w:szCs w:val="24"/>
          <w:lang w:val="ru-RU"/>
        </w:rPr>
      </w:pPr>
      <w:r w:rsidRPr="00DA47DF">
        <w:rPr>
          <w:rFonts w:ascii="Times New Roman" w:hAnsi="Times New Roman"/>
          <w:sz w:val="24"/>
          <w:szCs w:val="24"/>
          <w:lang w:val="ru-RU"/>
        </w:rPr>
        <w:t>3. К проекту будет применяться Руководство Всемирного банка по управлению рисками использования беспилотных летательных аппаратов в рамках проектов развития («Руководство по БПЛА»), а в Операционном руководстве Проекта (ОР) будут указаны разрешенные условия для ввода в эксплуатацию дронов, включая план снижения рисков при закупке, использовании и управлении дронами.</w:t>
      </w:r>
    </w:p>
    <w:p w14:paraId="1146B20E" w14:textId="77777777" w:rsidR="00DA47DF" w:rsidRPr="00DA47DF" w:rsidRDefault="00DA47DF" w:rsidP="00DA47DF">
      <w:pPr>
        <w:tabs>
          <w:tab w:val="left" w:pos="993"/>
        </w:tabs>
        <w:spacing w:line="276" w:lineRule="auto"/>
        <w:jc w:val="both"/>
        <w:rPr>
          <w:lang w:val="ru-RU"/>
        </w:rPr>
      </w:pPr>
    </w:p>
    <w:sectPr w:rsidR="00DA47DF" w:rsidRPr="00DA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289C" w14:textId="77777777" w:rsidR="007715D6" w:rsidRDefault="007715D6" w:rsidP="00A23F7D">
      <w:pPr>
        <w:spacing w:after="0" w:line="240" w:lineRule="auto"/>
      </w:pPr>
      <w:r>
        <w:separator/>
      </w:r>
    </w:p>
  </w:endnote>
  <w:endnote w:type="continuationSeparator" w:id="0">
    <w:p w14:paraId="42646EDF" w14:textId="77777777" w:rsidR="007715D6" w:rsidRDefault="007715D6" w:rsidP="00A2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2733" w14:textId="77777777" w:rsidR="007715D6" w:rsidRDefault="007715D6" w:rsidP="00A23F7D">
      <w:pPr>
        <w:spacing w:after="0" w:line="240" w:lineRule="auto"/>
      </w:pPr>
      <w:r>
        <w:separator/>
      </w:r>
    </w:p>
  </w:footnote>
  <w:footnote w:type="continuationSeparator" w:id="0">
    <w:p w14:paraId="0EE36DFD" w14:textId="77777777" w:rsidR="007715D6" w:rsidRDefault="007715D6" w:rsidP="00A23F7D">
      <w:pPr>
        <w:spacing w:after="0" w:line="240" w:lineRule="auto"/>
      </w:pPr>
      <w:r>
        <w:continuationSeparator/>
      </w:r>
    </w:p>
  </w:footnote>
  <w:footnote w:id="1">
    <w:p w14:paraId="304FAFA3" w14:textId="77777777" w:rsidR="00A23F7D" w:rsidRPr="00FF429F" w:rsidRDefault="00A23F7D" w:rsidP="00A23F7D">
      <w:pPr>
        <w:pStyle w:val="ad"/>
        <w:jc w:val="both"/>
        <w:rPr>
          <w:sz w:val="18"/>
          <w:szCs w:val="18"/>
          <w:lang w:val="ru-RU"/>
        </w:rPr>
      </w:pPr>
      <w:r w:rsidRPr="007E0463">
        <w:rPr>
          <w:rStyle w:val="af"/>
          <w:sz w:val="18"/>
          <w:szCs w:val="18"/>
        </w:rPr>
        <w:footnoteRef/>
      </w:r>
      <w:r w:rsidRPr="00FF429F">
        <w:rPr>
          <w:sz w:val="18"/>
          <w:szCs w:val="18"/>
          <w:lang w:val="ru-RU"/>
        </w:rPr>
        <w:t xml:space="preserve">Другими программными проектами являются </w:t>
      </w:r>
      <w:r w:rsidRPr="007E0463">
        <w:rPr>
          <w:sz w:val="18"/>
          <w:szCs w:val="18"/>
        </w:rPr>
        <w:t>RESILAND</w:t>
      </w:r>
      <w:r w:rsidRPr="00FF429F">
        <w:rPr>
          <w:sz w:val="18"/>
          <w:szCs w:val="18"/>
          <w:lang w:val="ru-RU"/>
        </w:rPr>
        <w:t xml:space="preserve"> </w:t>
      </w:r>
      <w:r w:rsidRPr="007E0463">
        <w:rPr>
          <w:sz w:val="18"/>
          <w:szCs w:val="18"/>
        </w:rPr>
        <w:t>CA</w:t>
      </w:r>
      <w:r w:rsidRPr="00FF429F">
        <w:rPr>
          <w:sz w:val="18"/>
          <w:szCs w:val="18"/>
          <w:lang w:val="ru-RU"/>
        </w:rPr>
        <w:t>+: Проект восстановления устойчивых ландшафтов в Таджикистане (</w:t>
      </w:r>
      <w:r w:rsidRPr="007E0463">
        <w:rPr>
          <w:sz w:val="18"/>
          <w:szCs w:val="18"/>
        </w:rPr>
        <w:t>P</w:t>
      </w:r>
      <w:r w:rsidRPr="00FF429F">
        <w:rPr>
          <w:sz w:val="18"/>
          <w:szCs w:val="18"/>
          <w:lang w:val="ru-RU"/>
        </w:rPr>
        <w:t xml:space="preserve">171524, финансируемый за счет гранта МАР в размере 45 миллионов долларов США, одобрен и вступил в силу) и Программа </w:t>
      </w:r>
      <w:r w:rsidRPr="007E0463">
        <w:rPr>
          <w:sz w:val="18"/>
          <w:szCs w:val="18"/>
        </w:rPr>
        <w:t>RESILAND</w:t>
      </w:r>
      <w:r w:rsidRPr="00FF429F">
        <w:rPr>
          <w:sz w:val="18"/>
          <w:szCs w:val="18"/>
          <w:lang w:val="ru-RU"/>
        </w:rPr>
        <w:t xml:space="preserve"> </w:t>
      </w:r>
      <w:r w:rsidRPr="007E0463">
        <w:rPr>
          <w:sz w:val="18"/>
          <w:szCs w:val="18"/>
        </w:rPr>
        <w:t>CA</w:t>
      </w:r>
      <w:r w:rsidRPr="00FF429F">
        <w:rPr>
          <w:sz w:val="18"/>
          <w:szCs w:val="18"/>
          <w:lang w:val="ru-RU"/>
        </w:rPr>
        <w:t>+: Проект восстановления устойчивых ландшафтов Узбекистана (</w:t>
      </w:r>
      <w:r w:rsidRPr="007E0463">
        <w:rPr>
          <w:sz w:val="18"/>
          <w:szCs w:val="18"/>
        </w:rPr>
        <w:t>P</w:t>
      </w:r>
      <w:r w:rsidRPr="00FF429F">
        <w:rPr>
          <w:sz w:val="18"/>
          <w:szCs w:val="18"/>
          <w:lang w:val="ru-RU"/>
        </w:rPr>
        <w:t xml:space="preserve">174135, финансируемый за счет гранта МАР в размере 142 миллионов долларов США) Кредит и грант </w:t>
      </w:r>
      <w:r w:rsidRPr="007E0463">
        <w:rPr>
          <w:sz w:val="18"/>
          <w:szCs w:val="18"/>
        </w:rPr>
        <w:t>PROGREEN</w:t>
      </w:r>
      <w:r w:rsidRPr="00FF429F">
        <w:rPr>
          <w:sz w:val="18"/>
          <w:szCs w:val="18"/>
          <w:lang w:val="ru-RU"/>
        </w:rPr>
        <w:t xml:space="preserve"> в размере 8 миллионов долларов США, одобренный и скоро вступающий в силу). Проект восстановления ландшафта Казахстана (</w:t>
      </w:r>
      <w:r w:rsidRPr="007E0463">
        <w:rPr>
          <w:sz w:val="18"/>
          <w:szCs w:val="18"/>
        </w:rPr>
        <w:t>P</w:t>
      </w:r>
      <w:r w:rsidRPr="00FF429F">
        <w:rPr>
          <w:sz w:val="18"/>
          <w:szCs w:val="18"/>
          <w:lang w:val="ru-RU"/>
        </w:rPr>
        <w:t xml:space="preserve">171577, финансируемый Глобальным экологическим фондом (ГЭФ) в размере 4,34 миллиона долларов США) также связан с программой </w:t>
      </w:r>
      <w:r w:rsidRPr="007E0463">
        <w:rPr>
          <w:sz w:val="18"/>
          <w:szCs w:val="18"/>
        </w:rPr>
        <w:t>RESILAND</w:t>
      </w:r>
      <w:r w:rsidRPr="00FF429F">
        <w:rPr>
          <w:sz w:val="18"/>
          <w:szCs w:val="18"/>
          <w:lang w:val="ru-RU"/>
        </w:rPr>
        <w:t xml:space="preserve"> </w:t>
      </w:r>
      <w:r w:rsidRPr="007E0463">
        <w:rPr>
          <w:sz w:val="18"/>
          <w:szCs w:val="18"/>
        </w:rPr>
        <w:t>CA</w:t>
      </w:r>
      <w:r w:rsidRPr="00FF429F">
        <w:rPr>
          <w:sz w:val="18"/>
          <w:szCs w:val="18"/>
          <w:lang w:val="ru-RU"/>
        </w:rPr>
        <w:t>+.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28D"/>
    <w:multiLevelType w:val="hybridMultilevel"/>
    <w:tmpl w:val="B276D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8A6"/>
    <w:multiLevelType w:val="multilevel"/>
    <w:tmpl w:val="E230DC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94315"/>
    <w:multiLevelType w:val="hybridMultilevel"/>
    <w:tmpl w:val="D02E1EBE"/>
    <w:lvl w:ilvl="0" w:tplc="566C046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83620"/>
    <w:multiLevelType w:val="multilevel"/>
    <w:tmpl w:val="2FD8D006"/>
    <w:styleLink w:val="ImportedStyle1"/>
    <w:lvl w:ilvl="0">
      <w:start w:val="1"/>
      <w:numFmt w:val="decimal"/>
      <w:lvlText w:val="%1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6"/>
        </w:tabs>
        <w:ind w:left="33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33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</w:tabs>
        <w:ind w:left="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183A29F9"/>
    <w:multiLevelType w:val="hybridMultilevel"/>
    <w:tmpl w:val="D71C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6247"/>
    <w:multiLevelType w:val="hybridMultilevel"/>
    <w:tmpl w:val="53DEE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F71D58"/>
    <w:multiLevelType w:val="hybridMultilevel"/>
    <w:tmpl w:val="C38698F2"/>
    <w:lvl w:ilvl="0" w:tplc="CB24D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3E7E"/>
    <w:multiLevelType w:val="multilevel"/>
    <w:tmpl w:val="2FD8D006"/>
    <w:numStyleLink w:val="ImportedStyle1"/>
  </w:abstractNum>
  <w:abstractNum w:abstractNumId="8" w15:restartNumberingAfterBreak="0">
    <w:nsid w:val="2B521FD5"/>
    <w:multiLevelType w:val="hybridMultilevel"/>
    <w:tmpl w:val="B276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1393"/>
    <w:multiLevelType w:val="hybridMultilevel"/>
    <w:tmpl w:val="B276D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25BD0"/>
    <w:multiLevelType w:val="hybridMultilevel"/>
    <w:tmpl w:val="5682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B4FDF"/>
    <w:multiLevelType w:val="hybridMultilevel"/>
    <w:tmpl w:val="E20EE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046"/>
    <w:multiLevelType w:val="hybridMultilevel"/>
    <w:tmpl w:val="1E723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157CB"/>
    <w:multiLevelType w:val="hybridMultilevel"/>
    <w:tmpl w:val="B6CE8D9E"/>
    <w:lvl w:ilvl="0" w:tplc="782CACE4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933E7"/>
    <w:multiLevelType w:val="hybridMultilevel"/>
    <w:tmpl w:val="DB5C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7D48"/>
    <w:multiLevelType w:val="multilevel"/>
    <w:tmpl w:val="075212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65776A2"/>
    <w:multiLevelType w:val="hybridMultilevel"/>
    <w:tmpl w:val="E356DF5E"/>
    <w:lvl w:ilvl="0" w:tplc="CB24D1C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B4010"/>
    <w:multiLevelType w:val="hybridMultilevel"/>
    <w:tmpl w:val="F3024F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7D0E1D"/>
    <w:multiLevelType w:val="hybridMultilevel"/>
    <w:tmpl w:val="E64EF352"/>
    <w:lvl w:ilvl="0" w:tplc="3F5AE3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5C8D"/>
    <w:multiLevelType w:val="hybridMultilevel"/>
    <w:tmpl w:val="BDEE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721DD"/>
    <w:multiLevelType w:val="hybridMultilevel"/>
    <w:tmpl w:val="00DC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524"/>
    <w:multiLevelType w:val="multilevel"/>
    <w:tmpl w:val="EDD21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FA245E9"/>
    <w:multiLevelType w:val="multilevel"/>
    <w:tmpl w:val="9DC637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4447F6"/>
    <w:multiLevelType w:val="multilevel"/>
    <w:tmpl w:val="3542A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DCB45D1"/>
    <w:multiLevelType w:val="hybridMultilevel"/>
    <w:tmpl w:val="3A621516"/>
    <w:lvl w:ilvl="0" w:tplc="8926F46C">
      <w:start w:val="1"/>
      <w:numFmt w:val="decimal"/>
      <w:lvlText w:val="%1."/>
      <w:lvlJc w:val="left"/>
      <w:pPr>
        <w:ind w:left="2160" w:hanging="360"/>
      </w:pPr>
      <w:rPr>
        <w:rFonts w:ascii="Calibri" w:hAnsi="Calibri" w:cs="Calibri" w:hint="default"/>
        <w:b w:val="0"/>
        <w:bCs/>
        <w:i w:val="0"/>
        <w:iCs/>
        <w:color w:val="auto"/>
        <w:sz w:val="22"/>
        <w:szCs w:val="22"/>
        <w:vertAlign w:val="baseline"/>
      </w:rPr>
    </w:lvl>
    <w:lvl w:ilvl="1" w:tplc="6196408C">
      <w:numFmt w:val="bullet"/>
      <w:lvlText w:val="•"/>
      <w:lvlJc w:val="left"/>
      <w:pPr>
        <w:ind w:left="-630" w:hanging="450"/>
      </w:pPr>
      <w:rPr>
        <w:rFonts w:ascii="Calibri" w:eastAsia="Times New Roman" w:hAnsi="Calibri" w:cs="Calibri" w:hint="default"/>
      </w:rPr>
    </w:lvl>
    <w:lvl w:ilvl="2" w:tplc="ACB090B0" w:tentative="1">
      <w:start w:val="1"/>
      <w:numFmt w:val="lowerRoman"/>
      <w:lvlText w:val="%3."/>
      <w:lvlJc w:val="right"/>
      <w:pPr>
        <w:ind w:left="0" w:hanging="180"/>
      </w:pPr>
    </w:lvl>
    <w:lvl w:ilvl="3" w:tplc="3E9E7D74" w:tentative="1">
      <w:start w:val="1"/>
      <w:numFmt w:val="decimal"/>
      <w:lvlText w:val="%4."/>
      <w:lvlJc w:val="left"/>
      <w:pPr>
        <w:ind w:left="720" w:hanging="360"/>
      </w:pPr>
    </w:lvl>
    <w:lvl w:ilvl="4" w:tplc="5D9CA070" w:tentative="1">
      <w:start w:val="1"/>
      <w:numFmt w:val="lowerLetter"/>
      <w:lvlText w:val="%5."/>
      <w:lvlJc w:val="left"/>
      <w:pPr>
        <w:ind w:left="1440" w:hanging="360"/>
      </w:pPr>
    </w:lvl>
    <w:lvl w:ilvl="5" w:tplc="5F44514E" w:tentative="1">
      <w:start w:val="1"/>
      <w:numFmt w:val="lowerRoman"/>
      <w:lvlText w:val="%6."/>
      <w:lvlJc w:val="right"/>
      <w:pPr>
        <w:ind w:left="2160" w:hanging="180"/>
      </w:pPr>
    </w:lvl>
    <w:lvl w:ilvl="6" w:tplc="7B584D02" w:tentative="1">
      <w:start w:val="1"/>
      <w:numFmt w:val="decimal"/>
      <w:lvlText w:val="%7."/>
      <w:lvlJc w:val="left"/>
      <w:pPr>
        <w:ind w:left="2880" w:hanging="360"/>
      </w:pPr>
    </w:lvl>
    <w:lvl w:ilvl="7" w:tplc="A9802658" w:tentative="1">
      <w:start w:val="1"/>
      <w:numFmt w:val="lowerLetter"/>
      <w:lvlText w:val="%8."/>
      <w:lvlJc w:val="left"/>
      <w:pPr>
        <w:ind w:left="3600" w:hanging="360"/>
      </w:pPr>
    </w:lvl>
    <w:lvl w:ilvl="8" w:tplc="6C4C007C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74774F81"/>
    <w:multiLevelType w:val="multilevel"/>
    <w:tmpl w:val="9DC637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3262299">
    <w:abstractNumId w:val="13"/>
  </w:num>
  <w:num w:numId="2" w16cid:durableId="1338311642">
    <w:abstractNumId w:val="23"/>
  </w:num>
  <w:num w:numId="3" w16cid:durableId="936140218">
    <w:abstractNumId w:val="22"/>
  </w:num>
  <w:num w:numId="4" w16cid:durableId="761727700">
    <w:abstractNumId w:val="25"/>
  </w:num>
  <w:num w:numId="5" w16cid:durableId="928393733">
    <w:abstractNumId w:val="21"/>
  </w:num>
  <w:num w:numId="6" w16cid:durableId="1681925960">
    <w:abstractNumId w:val="15"/>
  </w:num>
  <w:num w:numId="7" w16cid:durableId="635794112">
    <w:abstractNumId w:val="5"/>
  </w:num>
  <w:num w:numId="8" w16cid:durableId="617488041">
    <w:abstractNumId w:val="1"/>
  </w:num>
  <w:num w:numId="9" w16cid:durableId="3871898">
    <w:abstractNumId w:val="4"/>
  </w:num>
  <w:num w:numId="10" w16cid:durableId="993796066">
    <w:abstractNumId w:val="10"/>
  </w:num>
  <w:num w:numId="11" w16cid:durableId="238253533">
    <w:abstractNumId w:val="17"/>
  </w:num>
  <w:num w:numId="12" w16cid:durableId="773482694">
    <w:abstractNumId w:val="16"/>
  </w:num>
  <w:num w:numId="13" w16cid:durableId="1421217685">
    <w:abstractNumId w:val="6"/>
  </w:num>
  <w:num w:numId="14" w16cid:durableId="39016727">
    <w:abstractNumId w:val="20"/>
  </w:num>
  <w:num w:numId="15" w16cid:durableId="694498178">
    <w:abstractNumId w:val="19"/>
  </w:num>
  <w:num w:numId="16" w16cid:durableId="605314483">
    <w:abstractNumId w:val="14"/>
  </w:num>
  <w:num w:numId="17" w16cid:durableId="1194150977">
    <w:abstractNumId w:val="2"/>
  </w:num>
  <w:num w:numId="18" w16cid:durableId="458959974">
    <w:abstractNumId w:val="18"/>
  </w:num>
  <w:num w:numId="19" w16cid:durableId="842235659">
    <w:abstractNumId w:val="3"/>
  </w:num>
  <w:num w:numId="20" w16cid:durableId="650646086">
    <w:abstractNumId w:val="7"/>
  </w:num>
  <w:num w:numId="21" w16cid:durableId="1396777309">
    <w:abstractNumId w:val="8"/>
  </w:num>
  <w:num w:numId="22" w16cid:durableId="226453797">
    <w:abstractNumId w:val="12"/>
  </w:num>
  <w:num w:numId="23" w16cid:durableId="1132601907">
    <w:abstractNumId w:val="11"/>
  </w:num>
  <w:num w:numId="24" w16cid:durableId="1443649319">
    <w:abstractNumId w:val="24"/>
  </w:num>
  <w:num w:numId="25" w16cid:durableId="250771913">
    <w:abstractNumId w:val="0"/>
  </w:num>
  <w:num w:numId="26" w16cid:durableId="657155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1"/>
    <w:rsid w:val="000019C0"/>
    <w:rsid w:val="000130B2"/>
    <w:rsid w:val="000170E9"/>
    <w:rsid w:val="00017586"/>
    <w:rsid w:val="000208BF"/>
    <w:rsid w:val="00027763"/>
    <w:rsid w:val="00066141"/>
    <w:rsid w:val="000806C7"/>
    <w:rsid w:val="000852FA"/>
    <w:rsid w:val="00086250"/>
    <w:rsid w:val="000A4023"/>
    <w:rsid w:val="000B2442"/>
    <w:rsid w:val="000B4CA6"/>
    <w:rsid w:val="000C591A"/>
    <w:rsid w:val="000E0351"/>
    <w:rsid w:val="000F2AC7"/>
    <w:rsid w:val="0010283F"/>
    <w:rsid w:val="00105447"/>
    <w:rsid w:val="0013513F"/>
    <w:rsid w:val="001460E7"/>
    <w:rsid w:val="00161893"/>
    <w:rsid w:val="00163DD2"/>
    <w:rsid w:val="00167251"/>
    <w:rsid w:val="00190A83"/>
    <w:rsid w:val="00191CD9"/>
    <w:rsid w:val="001A110D"/>
    <w:rsid w:val="001B29AB"/>
    <w:rsid w:val="001C2B9B"/>
    <w:rsid w:val="001C4C7E"/>
    <w:rsid w:val="001E48F7"/>
    <w:rsid w:val="001F7AF7"/>
    <w:rsid w:val="002034EC"/>
    <w:rsid w:val="00237B64"/>
    <w:rsid w:val="00246ED8"/>
    <w:rsid w:val="00256C42"/>
    <w:rsid w:val="00261CE0"/>
    <w:rsid w:val="00295759"/>
    <w:rsid w:val="002B0972"/>
    <w:rsid w:val="002B2495"/>
    <w:rsid w:val="002B5D75"/>
    <w:rsid w:val="002F44E2"/>
    <w:rsid w:val="003226BE"/>
    <w:rsid w:val="00330E29"/>
    <w:rsid w:val="003352CC"/>
    <w:rsid w:val="003577F0"/>
    <w:rsid w:val="003643F7"/>
    <w:rsid w:val="003858D7"/>
    <w:rsid w:val="00387D40"/>
    <w:rsid w:val="0039094D"/>
    <w:rsid w:val="0039364A"/>
    <w:rsid w:val="003C6FB3"/>
    <w:rsid w:val="003F6A72"/>
    <w:rsid w:val="004011B4"/>
    <w:rsid w:val="00437234"/>
    <w:rsid w:val="004D0E08"/>
    <w:rsid w:val="004D2877"/>
    <w:rsid w:val="004F3E5D"/>
    <w:rsid w:val="004F6B88"/>
    <w:rsid w:val="005006E4"/>
    <w:rsid w:val="00503E5C"/>
    <w:rsid w:val="0052339E"/>
    <w:rsid w:val="0055787B"/>
    <w:rsid w:val="00567A0F"/>
    <w:rsid w:val="00567FC3"/>
    <w:rsid w:val="0057068D"/>
    <w:rsid w:val="005831FD"/>
    <w:rsid w:val="005E21B3"/>
    <w:rsid w:val="005E6507"/>
    <w:rsid w:val="00604EA3"/>
    <w:rsid w:val="006155E7"/>
    <w:rsid w:val="00621C37"/>
    <w:rsid w:val="00641163"/>
    <w:rsid w:val="0064362C"/>
    <w:rsid w:val="00643A1C"/>
    <w:rsid w:val="006606B1"/>
    <w:rsid w:val="00660D32"/>
    <w:rsid w:val="00673F2C"/>
    <w:rsid w:val="00687098"/>
    <w:rsid w:val="006B069F"/>
    <w:rsid w:val="006D0115"/>
    <w:rsid w:val="006D245E"/>
    <w:rsid w:val="006D4A57"/>
    <w:rsid w:val="006E23EF"/>
    <w:rsid w:val="006F60A1"/>
    <w:rsid w:val="00705C90"/>
    <w:rsid w:val="007715D6"/>
    <w:rsid w:val="007B6A27"/>
    <w:rsid w:val="007C3BB6"/>
    <w:rsid w:val="00814B53"/>
    <w:rsid w:val="00852F34"/>
    <w:rsid w:val="00872B9A"/>
    <w:rsid w:val="0089385F"/>
    <w:rsid w:val="00894CDB"/>
    <w:rsid w:val="008A20A8"/>
    <w:rsid w:val="008B126F"/>
    <w:rsid w:val="008C6176"/>
    <w:rsid w:val="008D1241"/>
    <w:rsid w:val="0093117D"/>
    <w:rsid w:val="0093230E"/>
    <w:rsid w:val="00951973"/>
    <w:rsid w:val="00961B94"/>
    <w:rsid w:val="00975F6B"/>
    <w:rsid w:val="0098340E"/>
    <w:rsid w:val="009A2BF2"/>
    <w:rsid w:val="009B6122"/>
    <w:rsid w:val="009C027F"/>
    <w:rsid w:val="009C7109"/>
    <w:rsid w:val="009F5089"/>
    <w:rsid w:val="00A0076D"/>
    <w:rsid w:val="00A2278B"/>
    <w:rsid w:val="00A23F7D"/>
    <w:rsid w:val="00A2728E"/>
    <w:rsid w:val="00A46454"/>
    <w:rsid w:val="00A6181D"/>
    <w:rsid w:val="00A754FF"/>
    <w:rsid w:val="00A878D9"/>
    <w:rsid w:val="00A963D4"/>
    <w:rsid w:val="00AB134D"/>
    <w:rsid w:val="00AC27A3"/>
    <w:rsid w:val="00AE3209"/>
    <w:rsid w:val="00AE7E9B"/>
    <w:rsid w:val="00AF2087"/>
    <w:rsid w:val="00B1403F"/>
    <w:rsid w:val="00B22BE0"/>
    <w:rsid w:val="00B42E83"/>
    <w:rsid w:val="00B51FBB"/>
    <w:rsid w:val="00B71F67"/>
    <w:rsid w:val="00B76F0E"/>
    <w:rsid w:val="00B84349"/>
    <w:rsid w:val="00B86377"/>
    <w:rsid w:val="00BA305A"/>
    <w:rsid w:val="00BA40CA"/>
    <w:rsid w:val="00BB44E6"/>
    <w:rsid w:val="00BD0653"/>
    <w:rsid w:val="00BE7822"/>
    <w:rsid w:val="00BF52A8"/>
    <w:rsid w:val="00C015A0"/>
    <w:rsid w:val="00C12C79"/>
    <w:rsid w:val="00C12D1E"/>
    <w:rsid w:val="00C274FC"/>
    <w:rsid w:val="00C4030F"/>
    <w:rsid w:val="00C46943"/>
    <w:rsid w:val="00C53A95"/>
    <w:rsid w:val="00C91222"/>
    <w:rsid w:val="00CA5195"/>
    <w:rsid w:val="00CD110E"/>
    <w:rsid w:val="00CE55AA"/>
    <w:rsid w:val="00D0477D"/>
    <w:rsid w:val="00D23925"/>
    <w:rsid w:val="00D24E24"/>
    <w:rsid w:val="00D261A2"/>
    <w:rsid w:val="00D33817"/>
    <w:rsid w:val="00D41B09"/>
    <w:rsid w:val="00D514BB"/>
    <w:rsid w:val="00D74CB5"/>
    <w:rsid w:val="00D91144"/>
    <w:rsid w:val="00DA47DF"/>
    <w:rsid w:val="00DE7BB2"/>
    <w:rsid w:val="00DF4512"/>
    <w:rsid w:val="00E11844"/>
    <w:rsid w:val="00E1274F"/>
    <w:rsid w:val="00E174E5"/>
    <w:rsid w:val="00E26DE8"/>
    <w:rsid w:val="00E3599E"/>
    <w:rsid w:val="00E63812"/>
    <w:rsid w:val="00E71BF5"/>
    <w:rsid w:val="00E73C3F"/>
    <w:rsid w:val="00E77B61"/>
    <w:rsid w:val="00EA36C6"/>
    <w:rsid w:val="00EA3A13"/>
    <w:rsid w:val="00ED0EFB"/>
    <w:rsid w:val="00EE7551"/>
    <w:rsid w:val="00F33AD4"/>
    <w:rsid w:val="00F75FCC"/>
    <w:rsid w:val="00F87CFF"/>
    <w:rsid w:val="00F95779"/>
    <w:rsid w:val="00FB6369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20800"/>
  <w15:docId w15:val="{CAF481B9-A72C-4A2B-93D3-169D9B2C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5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EE7551"/>
    <w:pPr>
      <w:keepNext/>
      <w:keepLines/>
      <w:suppressAutoHyphens w:val="0"/>
      <w:spacing w:before="240" w:after="240" w:line="240" w:lineRule="auto"/>
      <w:jc w:val="center"/>
      <w:textAlignment w:val="auto"/>
      <w:outlineLvl w:val="0"/>
    </w:pPr>
    <w:rPr>
      <w:rFonts w:ascii="Times New Roman Bold" w:eastAsia="Times New Roman" w:hAnsi="Times New Roman Bold"/>
      <w:b/>
      <w:sz w:val="32"/>
      <w:szCs w:val="20"/>
      <w:lang w:eastAsia="en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7D"/>
    <w:pPr>
      <w:keepNext/>
      <w:keepLines/>
      <w:suppressAutoHyphens w:val="0"/>
      <w:autoSpaceDN/>
      <w:spacing w:before="40" w:after="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551"/>
    <w:rPr>
      <w:rFonts w:ascii="Times New Roman Bold" w:eastAsia="Times New Roman" w:hAnsi="Times New Roman Bold" w:cs="Times New Roman"/>
      <w:b/>
      <w:sz w:val="32"/>
      <w:szCs w:val="20"/>
      <w:lang w:val="en-US" w:eastAsia="en-IN"/>
    </w:rPr>
  </w:style>
  <w:style w:type="paragraph" w:styleId="HTML">
    <w:name w:val="HTML Preformatted"/>
    <w:basedOn w:val="a"/>
    <w:link w:val="HTML0"/>
    <w:unhideWhenUsed/>
    <w:rsid w:val="00EE7551"/>
    <w:pPr>
      <w:suppressAutoHyphens w:val="0"/>
      <w:autoSpaceDN/>
      <w:spacing w:after="0" w:line="240" w:lineRule="auto"/>
      <w:textAlignment w:val="auto"/>
    </w:pPr>
    <w:rPr>
      <w:rFonts w:ascii="Consolas" w:eastAsiaTheme="minorHAnsi" w:hAnsi="Consolas" w:cstheme="minorBidi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E7551"/>
    <w:rPr>
      <w:rFonts w:ascii="Consolas" w:hAnsi="Consolas"/>
      <w:sz w:val="20"/>
      <w:szCs w:val="20"/>
    </w:rPr>
  </w:style>
  <w:style w:type="paragraph" w:styleId="a3">
    <w:name w:val="List Paragraph"/>
    <w:aliases w:val="References,Bullets,List Paragraph (numbered (a)),List_Paragraph,Multilevel para_II,Akapit z listą BS,Bullet1,PAD,ADB paragraph numbering,List Paragraph1,List Paragraph 1,Main numbered paragraph,Абзац вправо-1,NumberedParas,Report Para,Body"/>
    <w:basedOn w:val="a"/>
    <w:link w:val="a4"/>
    <w:uiPriority w:val="34"/>
    <w:qFormat/>
    <w:rsid w:val="00EE7551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a4">
    <w:name w:val="Абзац списка Знак"/>
    <w:aliases w:val="References Знак,Bullets Знак,List Paragraph (numbered (a)) Знак,List_Paragraph Знак,Multilevel para_II Знак,Akapit z listą BS Знак,Bullet1 Знак,PAD Знак,ADB paragraph numbering Знак,List Paragraph1 Знак,List Paragraph 1 Знак,Body Знак"/>
    <w:link w:val="a3"/>
    <w:uiPriority w:val="34"/>
    <w:qFormat/>
    <w:locked/>
    <w:rsid w:val="00EE7551"/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customStyle="1" w:styleId="Normal14">
    <w:name w:val="Normal_14"/>
    <w:qFormat/>
    <w:rsid w:val="00EE7551"/>
    <w:pPr>
      <w:spacing w:line="256" w:lineRule="auto"/>
    </w:pPr>
    <w:rPr>
      <w:rFonts w:ascii="Calibri" w:eastAsia="MS Mincho" w:hAnsi="Calibri" w:cs="Times New Roman"/>
      <w:lang w:val="en-US"/>
    </w:rPr>
  </w:style>
  <w:style w:type="paragraph" w:customStyle="1" w:styleId="ColorfulList-Accent12">
    <w:name w:val="Colorful List - Accent 12"/>
    <w:basedOn w:val="a"/>
    <w:link w:val="ColorfulList-Accent1Char2"/>
    <w:uiPriority w:val="99"/>
    <w:qFormat/>
    <w:rsid w:val="00EE7551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lorfulList-Accent1Char2">
    <w:name w:val="Colorful List - Accent 1 Char2"/>
    <w:link w:val="ColorfulList-Accent12"/>
    <w:uiPriority w:val="99"/>
    <w:rsid w:val="00EE7551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a5">
    <w:name w:val="Balloon Text"/>
    <w:basedOn w:val="a"/>
    <w:link w:val="a6"/>
    <w:uiPriority w:val="99"/>
    <w:semiHidden/>
    <w:unhideWhenUsed/>
    <w:rsid w:val="00BF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2A8"/>
    <w:rPr>
      <w:rFonts w:ascii="Segoe UI" w:eastAsia="Calibri" w:hAnsi="Segoe UI" w:cs="Segoe UI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3577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77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77F0"/>
    <w:rPr>
      <w:rFonts w:ascii="Calibri" w:eastAsia="Calibri" w:hAnsi="Calibri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7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77F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c">
    <w:name w:val="Revision"/>
    <w:hidden/>
    <w:uiPriority w:val="99"/>
    <w:semiHidden/>
    <w:rsid w:val="00BA40C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rmaltextrun">
    <w:name w:val="normaltextrun"/>
    <w:basedOn w:val="a0"/>
    <w:rsid w:val="00C12D1E"/>
  </w:style>
  <w:style w:type="character" w:customStyle="1" w:styleId="20">
    <w:name w:val="Заголовок 2 Знак"/>
    <w:basedOn w:val="a0"/>
    <w:link w:val="2"/>
    <w:uiPriority w:val="9"/>
    <w:semiHidden/>
    <w:rsid w:val="00A23F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d">
    <w:name w:val="footnote text"/>
    <w:aliases w:val="FOOTNOTES,Footnote Text Char1,Footnote Text Char2 Char,Footnote Text Quote,Genev,fn,footnote text,footnote text Char,footnote text Char Char,footnote text1,ft,ft Char,ft Char Char,ft Char Char1,ft Char1,ft Char2,single space,single space1,9"/>
    <w:basedOn w:val="a"/>
    <w:link w:val="ae"/>
    <w:uiPriority w:val="99"/>
    <w:unhideWhenUsed/>
    <w:qFormat/>
    <w:rsid w:val="00A23F7D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Текст сноски Знак"/>
    <w:aliases w:val="FOOTNOTES Знак,Footnote Text Char1 Знак,Footnote Text Char2 Char Знак,Footnote Text Quote Знак,Genev Знак,fn Знак,footnote text Знак,footnote text Char Знак,footnote text Char Char Знак,footnote text1 Знак,ft Знак,ft Char Знак,9 Знак"/>
    <w:basedOn w:val="a0"/>
    <w:link w:val="ad"/>
    <w:uiPriority w:val="99"/>
    <w:qFormat/>
    <w:rsid w:val="00A23F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footnote reference"/>
    <w:aliases w:val=" BVI fnr,Error-Fußnotenzeichen3,Error-Fußnotenzeichen5,Error-Fußnotenzeichen6,FR,Footnote Reference Number,Footnote Reference1,Footnote Reference_LVL6,Footnote Reference_LVL61,Footnote Reference_LVL62,Footnote Reference_LVL63,fr,ftref"/>
    <w:basedOn w:val="a0"/>
    <w:link w:val="CharChar1CharCharCharChar1CharCharCharCharCharCharCharChar"/>
    <w:uiPriority w:val="99"/>
    <w:unhideWhenUsed/>
    <w:qFormat/>
    <w:rsid w:val="00A23F7D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f"/>
    <w:uiPriority w:val="99"/>
    <w:rsid w:val="00A23F7D"/>
    <w:pPr>
      <w:suppressAutoHyphens w:val="0"/>
      <w:autoSpaceDN/>
      <w:spacing w:line="240" w:lineRule="exact"/>
      <w:ind w:firstLine="360"/>
      <w:jc w:val="both"/>
      <w:textAlignment w:val="auto"/>
    </w:pPr>
    <w:rPr>
      <w:rFonts w:asciiTheme="minorHAnsi" w:eastAsiaTheme="minorHAnsi" w:hAnsiTheme="minorHAnsi" w:cstheme="minorBidi"/>
      <w:vertAlign w:val="superscript"/>
      <w:lang w:val="ru-RU"/>
    </w:rPr>
  </w:style>
  <w:style w:type="table" w:customStyle="1" w:styleId="TableNormal">
    <w:name w:val="Table Normal"/>
    <w:rsid w:val="00020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0208BF"/>
    <w:pPr>
      <w:numPr>
        <w:numId w:val="19"/>
      </w:numPr>
    </w:pPr>
  </w:style>
  <w:style w:type="paragraph" w:styleId="af0">
    <w:name w:val="No Spacing"/>
    <w:uiPriority w:val="1"/>
    <w:qFormat/>
    <w:rsid w:val="00DF45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Berbaeva</dc:creator>
  <cp:keywords/>
  <dc:description/>
  <cp:lastModifiedBy>Nargiza Iskender</cp:lastModifiedBy>
  <cp:revision>9</cp:revision>
  <cp:lastPrinted>2021-01-20T10:43:00Z</cp:lastPrinted>
  <dcterms:created xsi:type="dcterms:W3CDTF">2024-08-05T09:55:00Z</dcterms:created>
  <dcterms:modified xsi:type="dcterms:W3CDTF">2024-09-05T04:57:00Z</dcterms:modified>
</cp:coreProperties>
</file>